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/>
    <w:p w:rsidR="006A2490" w:rsidRDefault="008D5303">
      <w:pPr>
        <w:pStyle w:val="Heading2"/>
      </w:pPr>
      <w:r>
        <w:t>08006 Sveučilišta i veleučilišta u Republici Hrvatskoj</w:t>
      </w:r>
    </w:p>
    <w:p w:rsidR="006A2490" w:rsidRDefault="008D5303">
      <w:r>
        <w:t xml:space="preserve">U okviru ove proračunske glave osiguravaju se sredstva za financiranje plaća i materijalnih prava na javnim visokim učilištima, te sufinancira dio materijalnih troškova izvođenja nastave. Osnovni kriterij za financiranje visokih učilišta je zadovoljavanje </w:t>
      </w:r>
      <w:r>
        <w:t xml:space="preserve">kriterija kvalitete koje se utvrđuje u postupcima vanjskog vrednovanja. Osim financiranja visokih učilišta kojim se nastoji povećati kvaliteta izvođenja nastave, u okviru ove proračunske glave financira se i povećanje dostupnosti visokog obrazovanja. Kako </w:t>
      </w:r>
      <w:r>
        <w:t>bi se povećao jednak pristup visokom obrazovanju osiguravaju se sredstva za subvencioniranje troška studija studentima koji ispunjavaju akademske obaveze  te državne stipendije prema kriterijima propisanim pravilnicima.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11"/>
        <w:gridCol w:w="1565"/>
        <w:gridCol w:w="1565"/>
        <w:gridCol w:w="1565"/>
        <w:gridCol w:w="1565"/>
        <w:gridCol w:w="156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6A2490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>
              <w:rPr>
                <w:rFonts w:cs="Times New Roman"/>
              </w:rPr>
              <w:t>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08006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756.925.338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933.250.169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897.376.473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912.478.252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798.992.978</w:t>
            </w:r>
          </w:p>
        </w:tc>
        <w:tc>
          <w:tcPr>
            <w:tcW w:w="510" w:type="dxa"/>
          </w:tcPr>
          <w:p w:rsidR="006A2490" w:rsidRDefault="008D5303">
            <w:pPr>
              <w:jc w:val="right"/>
            </w:pPr>
            <w:r>
              <w:t>96,2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3"/>
      </w:pPr>
      <w:r>
        <w:rPr>
          <w:rFonts w:cs="Times New Roman"/>
        </w:rPr>
        <w:t>3705 VISOKO OBRAZOVANJE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01"/>
        <w:gridCol w:w="1567"/>
        <w:gridCol w:w="1567"/>
        <w:gridCol w:w="1567"/>
        <w:gridCol w:w="1567"/>
        <w:gridCol w:w="156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6A2490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3705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756.749.693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933.058.704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897.143.510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912.245.289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798.760.015</w:t>
            </w:r>
          </w:p>
        </w:tc>
        <w:tc>
          <w:tcPr>
            <w:tcW w:w="510" w:type="dxa"/>
          </w:tcPr>
          <w:p w:rsidR="006A2490" w:rsidRDefault="008D5303">
            <w:pPr>
              <w:jc w:val="right"/>
            </w:pPr>
            <w:r>
              <w:t>96,2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8"/>
        <w:jc w:val="left"/>
      </w:pPr>
      <w:r>
        <w:t>Cilj 1. Unaprijeđen sustav upravljanja i financiranja visokog obrazovanja</w:t>
      </w:r>
    </w:p>
    <w:p w:rsidR="006A2490" w:rsidRDefault="008D5303">
      <w:pPr>
        <w:pStyle w:val="Heading8"/>
        <w:jc w:val="left"/>
      </w:pPr>
      <w:r>
        <w:t>Cilj 2. Povećana dostupnost i razina uključenosti svih kategorija polaznika u programe visokog obrazovanja</w:t>
      </w:r>
    </w:p>
    <w:p w:rsidR="006A2490" w:rsidRDefault="008D5303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Povećanje udjela visokoobrazovanih osoba u populaciji od 30. - 34. godine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Postotak visokoobrazovanih osoba u populaciji 30.-34. godine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32,2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Eurostat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33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33,5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34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Povećanje broja evidencija o visokom obrazovanju na nacionalnoj razini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Povećanje broja evidencija o visokom obrazovanju na nacionalnoj razini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MZO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A621001 REDOVNA DJELATNOST SVEUČILIŠTA U ZAGREBU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visokom obrazovanju i znanosti; Zakon o plaćama u javnim službama; Temeljni kolektivni u</w:t>
      </w:r>
      <w:r>
        <w:t>govor za službenike i namještenike u javnim službama; Kolektivni ugovor za znanost i visoko obrazovanje; Sporazum o dodatku na plaću zaposlenima u osnovnoškolskim i srednjoškolskim ustanovama, te ustanovama u znanosti i visokom obrazovanju; Uredba o nazivi</w:t>
      </w:r>
      <w:r>
        <w:t>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1"/>
        <w:gridCol w:w="1559"/>
        <w:gridCol w:w="1559"/>
        <w:gridCol w:w="1559"/>
        <w:gridCol w:w="1559"/>
        <w:gridCol w:w="1559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A621001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212.697.076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239.750.833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262.280.567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263.080.988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263.224.639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109,4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u Zagrebu osiguravaju se sredstva za: rashode za zaposlene (plaće za redovan rad, doprinosi poslodavca, plaće za posebne uvjete rada), ostale rashode za zaposlene (regres, božićnica, jubilarne nagrade, otpremnine, p</w:t>
      </w:r>
      <w:r>
        <w:t>omoći i dar za djecu povodom sv. Nikole), materijalne rashode (prijevoz zaposlenika na posao i s posla, sistematski pregledi, novčana naknada poslodavca zbog nezapošljavanja osoba s invaliditetom), tekuće donacije, studentske programe studenata. U Državnom</w:t>
      </w:r>
      <w:r>
        <w:t xml:space="preserve"> proračunu osiguravaju se sredstva za plaće i naknade za 7.722 zaposlenika Sveučilišta u Zagrebu (uključujući njegove sastavnice).</w:t>
      </w:r>
    </w:p>
    <w:p w:rsidR="006A2490" w:rsidRDefault="008D5303">
      <w:pPr>
        <w:pStyle w:val="Heading4"/>
      </w:pPr>
      <w:r>
        <w:t>A621002 REDOVNA DJELATNOST SVEUČILIŠTA U RIJECI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</w:t>
      </w:r>
      <w:r>
        <w:t>atnosti; Zakon o osiguravanju kvalitete u visokom obrazovanju i znanosti; Zakon o plaćama u javnim službama; Temeljni kolektivni ugovor za službenike i namještenike u javnim službama; Kolektivni ugovor za znanost i visoko obrazovanje; Sporazum o dodatku na</w:t>
      </w:r>
      <w:r>
        <w:t xml:space="preserve"> plaću zaposlenima u osnovnoškolskim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</w:t>
            </w:r>
            <w:r>
              <w:rPr>
                <w:rFonts w:cs="Times New Roman"/>
              </w:rPr>
              <w:t>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A621002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46.339.880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53.012.678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57.838.707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58.015.190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58.046.735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109,1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u Rijeci osiguravaju se sredstva za: rashode za zaposlene (plaće za redovan rad, doprinosi poslodavca, plaće za posebne uvjete rada), ostale rashode za zaposlene (regres, božićnica, jubilarne nagrade, otpremnine, po</w:t>
      </w:r>
      <w:r>
        <w:t>moći i dar za djecu povodom sv. Nikole), materijalne rashode (prijevoz zaposlenika na posao i s posla, sistematski pregledi, novčana naknada poslodavca zbog nezapošljavanja osoba s invaliditetom),  tekuće donacije, studentske programe studenata. U Državnom</w:t>
      </w:r>
      <w:r>
        <w:t xml:space="preserve"> proračunu osiguravaju se sredstva za plaće i naknade za 1.792 zaposlenika Sveučilišta u Rijeci (uključujući njegove sastavnice).</w:t>
      </w:r>
    </w:p>
    <w:p w:rsidR="006A2490" w:rsidRDefault="008D5303">
      <w:pPr>
        <w:pStyle w:val="Heading4"/>
      </w:pPr>
      <w:r>
        <w:t>A621003 REDOVNA DJELATNOST SVEUČILIŠTA U OSIJEKU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visokom obrazovanju i znanosti; Zakon o plaćama u javnim službama; Temeljni kolektivni ugovor za službenike i namještenike u javnim službama; Kolektivni ugovor za znano</w:t>
      </w:r>
      <w:r>
        <w:t>st i visoko obrazovanje; Sporazum o dodatku na plaću zaposlenima u osnovnoškolskim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</w:t>
            </w:r>
            <w:r>
              <w:rPr>
                <w:rFonts w:cs="Times New Roman"/>
              </w:rPr>
              <w:t>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A621003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48.318.464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56.211.375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61.381.848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61.570.036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61.603.667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109,2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u Osijeku osiguravaju se sredstva za: rashode za zaposlene (plaće za redovan rad, doprinosi poslodavca, plaće za posebne uvjete rada), ostale rashode za zaposlene (regres, božićnica, jubilarne nagrade, otpremnine, p</w:t>
      </w:r>
      <w:r>
        <w:t>omoći i dar za djecu povodom sv. Nikole), materijalne rashode (prijevoz zaposlenika na posao i s posla, sistematski pregledi, novčana naknada poslodavca zbog nezapošljavanja osoba s invaliditetom), tekuće donacije, studentske programe studenata. U Državnom</w:t>
      </w:r>
      <w:r>
        <w:t xml:space="preserve"> proračunu osiguravaju se sredstva za plaće i naknade za 2.022 zaposlenika Sveučilišta J.J. Strossmayera u Osijeku (uključujući njegove sastavnice).</w:t>
      </w:r>
    </w:p>
    <w:p w:rsidR="006A2490" w:rsidRDefault="008D5303">
      <w:pPr>
        <w:pStyle w:val="Heading4"/>
      </w:pPr>
      <w:r>
        <w:t>A621004 REDOVNA DJELATNOST SVEUČILIŠTA U SPLITU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 xml:space="preserve">Zakon o visokom obrazovanju </w:t>
      </w:r>
      <w:r>
        <w:t>i znanstvenoj djelatnosti; Zakon o osiguravanju kvalitete u visokom obrazovanju i znanosti; Zakon o plaćama u javnim službama; Temeljni kolektivni ugovor za službenike i namještenike u javnim službama; Kolektivni ugovor za znanost i visoko obrazovanje; Spo</w:t>
      </w:r>
      <w:r>
        <w:t>razum o dodatku na plaću zaposlenima u osnovnoškolskim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</w:t>
            </w:r>
            <w:r>
              <w:rPr>
                <w:rFonts w:cs="Times New Roman"/>
              </w:rPr>
              <w:t>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A621004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48.325.367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54.606.030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59.731.027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59.914.742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59.947.682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109,4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u Splitu osiguravaju se sredstva za: rashode za zaposlene (plaće za redovan rad, doprinosi poslodavca, plaće za posebne uvjete rada), ostale rashode za zaposlene (regres, božićnica, jubilarne nagrade, otpremnine, po</w:t>
      </w:r>
      <w:r>
        <w:t>moći i dar za djecu povodom sv. Nikole), materijalne rashode (prijevoz zaposlenika na posao i s posla, sistematski pregledi, novčana naknada poslodavca zbog nezapošljavanja osoba s invaliditetom),  tekuće donacije, studentske programe studenata. U Državnom</w:t>
      </w:r>
      <w:r>
        <w:t xml:space="preserve"> proračunu osiguravaju se sredstva za plaće i naknade za 1.850 zaposlenika Sveučilišta u Splitu (uključujući njegove sastavnice).</w:t>
      </w:r>
    </w:p>
    <w:p w:rsidR="006A2490" w:rsidRDefault="008D5303">
      <w:pPr>
        <w:pStyle w:val="Heading4"/>
      </w:pPr>
      <w:r>
        <w:t>A621038 PROGRAMI VJEŽBAONICA VISOKIH UČILIŠTA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A621038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526.956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570.733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577.619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577.619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577.619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101,2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Ministarstvo financira realizaciju dijela praktične nastave pod nadzorom mentora u vježbaonicama predškolskih ustanova, osnovnih i srednjih škola za visoka učilišta nastavnog, odnosno učiteljskog kadra, za zimski i ljetni semestar.     </w:t>
      </w:r>
    </w:p>
    <w:p w:rsidR="006A2490" w:rsidRDefault="008D5303">
      <w:r>
        <w:t>Sredstava se doznač</w:t>
      </w:r>
      <w:r>
        <w:t xml:space="preserve">uju na temelju dostavljenih podataka sveučilišta, odnosno njihovih sastavnica, o realizaciji dijela praktične nastave pod nadzorom mentora u vježbaonicama predškolskih ustanova, osnovnih i srednjih škola.    </w:t>
      </w:r>
    </w:p>
    <w:p w:rsidR="006A2490" w:rsidRDefault="008D5303">
      <w:r>
        <w:t>Izračun potrebnih sredstava: izračunava se teme</w:t>
      </w:r>
      <w:r>
        <w:t>ljem realiziranih sati mentora za ljetni i zimski semestar po važećoj osnovici i odluci ministra.</w:t>
      </w:r>
    </w:p>
    <w:p w:rsidR="006A2490" w:rsidRDefault="008D5303">
      <w:pPr>
        <w:pStyle w:val="Heading4"/>
      </w:pPr>
      <w:r>
        <w:t>A621074 REDOVNA DJELATNOST SVEUČILIŠTA U ZADRU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</w:t>
      </w:r>
      <w:r>
        <w:t>itete u visokom obrazovanju i znanosti; Zakon o plaćama u javnim službama; Temeljni kolektivni ugovor za službenike i namještenike u javnim službama; Kolektivni ugovor za znanost i visoko obrazovanje; Sporazum o dodatku na plaću zaposlenima u osnovnoškolsk</w:t>
      </w:r>
      <w:r>
        <w:t>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A621074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17.220.811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24.562.394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21.195.832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21.258.073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21.269.255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86,3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navedene aktivnosti osiguravaju se sredstva za: rashode za zaposlene (plaće za redovan rad, doprinosi poslodavca, plaće za posebne uvjete rada), ostale rashode za zaposlene (regres, bož</w:t>
      </w:r>
      <w:r>
        <w:t>ićnica, jubilarne nagrade, otpremnine, pomoći i dar za djecu povodom sv. Nikole), materijalne rashode (prijevoz zaposlenika na posao i s posla, sistematski pregledi, novčana naknada poslodavca zbog nezapošljavanja osoba s invaliditetom), tekuće donacije, s</w:t>
      </w:r>
      <w:r>
        <w:t>tudentske programe studenata. U Državnom proračunu osiguravaju se sredstva za plaće i naknade za 623 zaposlenika Sveučilišta u Zadru.</w:t>
      </w:r>
    </w:p>
    <w:p w:rsidR="006A2490" w:rsidRDefault="008D5303">
      <w:pPr>
        <w:pStyle w:val="Heading4"/>
      </w:pPr>
      <w:r>
        <w:t>A621138 REDOVNA DJELATNOST SVEUČILIŠTA U DUBROVNIKU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visokom obrazovanju i znanosti; Zakon o plaćama u javnim službama; Temeljni kolektivni ugovor za službenike i namještenike u javnim službama; Kolektivni ugovor za znano</w:t>
      </w:r>
      <w:r>
        <w:t>st i visoko obrazovanje; Sporazum o dodatku na plaću zaposlenima u osnovnoškolskim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</w:t>
            </w:r>
            <w:r>
              <w:rPr>
                <w:rFonts w:cs="Times New Roman"/>
              </w:rPr>
              <w:t>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A621138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6.490.824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7.528.517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8.190.843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8.213.241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8.217.571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108,8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navedene aktivnosti osiguravaju se sredstva za: rashode za zaposlene (plaće za redovan rad, doprinosi poslodavca, plaće za posebne uvjete rada), ostale rashode za zaposlene (regres, božićnica, jubilarne nagrade, otpremnine, pomoći i dar za djecu p</w:t>
      </w:r>
      <w:r>
        <w:t>ovodom sv. Nikole), materijalne rashode (prijevoz zaposlenika na posao i s posla, sistematski pregledi, novčana naknada poslodavca zbog nezapošljavanja osoba s invaliditetom),  tekuće donacije, studentske programe studenata. U Državnom proračunu osiguravaj</w:t>
      </w:r>
      <w:r>
        <w:t>u se sredstva za plaće i naknade za 247 zaposlenika Sveučilišta u Dubrovniku.</w:t>
      </w:r>
    </w:p>
    <w:p w:rsidR="006A2490" w:rsidRDefault="008D5303">
      <w:pPr>
        <w:pStyle w:val="Heading4"/>
      </w:pPr>
      <w:r>
        <w:t>A621148 REDOVNA DJELATNOST VELEUČILIŠTA I VISOKIH ŠKOLA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</w:t>
      </w:r>
      <w:r>
        <w:t>okom obrazovanju i znanosti; Zakon o plaćama u javnim službama; Temeljni kolektivni ugovor za službenike i namještenike u javnim službama; Kolektivni ugovor za znanost i visoko obrazovanje; Sporazum o dodatku na plaću zaposlenima u osnovnoškolskim i srednj</w:t>
      </w:r>
      <w:r>
        <w:t>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A621148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16.890.650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18.553.404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20.544.714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20.536.379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20.547.386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110,7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veleučilišta i visokih škola osiguravaju se sredstva za: rashode za zaposlene (plaće za redovan rad, doprinosi poslodavca, plaće za posebne uvjete rada), ostale rashode za zap</w:t>
      </w:r>
      <w:r>
        <w:t>oslene (regres, božićnica, jubilarne nagrade, otpremnine, pomoći i dar za djecu povodom sv. Nikole), materijalne rashode (prijevoz zaposlenika na posao i s posla, sistematski pregledi, novčana naknada poslodavca zbog nezapošljavanja osoba s invaliditetom),</w:t>
      </w:r>
      <w:r>
        <w:t xml:space="preserve">  tekuće donacije, studentske programe studenata. U Državnom proračunu osiguravaju se sredstva za plaće i naknade za 687 zaposlenika na veleučilištima i visokim školama.</w:t>
      </w:r>
    </w:p>
    <w:p w:rsidR="006A2490" w:rsidRDefault="008D5303">
      <w:pPr>
        <w:pStyle w:val="Heading4"/>
      </w:pPr>
      <w:r>
        <w:t>A621168 REDOVNA DJELATNOST SVEUČILIŠTA U PULI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visokom obrazovanju i znanosti; Zakon o plaćama u javnim službama; Temeljni kolektivni ugovor za službenike i namještenike u javnim službama; Kolektivni ugovor za znano</w:t>
      </w:r>
      <w:r>
        <w:t>st i visoko obrazovanje; Sporazum o dodatku na plaću zaposlenima u osnovnoškolskim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0"/>
        <w:gridCol w:w="1553"/>
        <w:gridCol w:w="1564"/>
        <w:gridCol w:w="1553"/>
        <w:gridCol w:w="1553"/>
        <w:gridCol w:w="1553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</w:t>
            </w:r>
            <w:r>
              <w:rPr>
                <w:rFonts w:cs="Times New Roman"/>
              </w:rPr>
              <w:t>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A621168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7.845.996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12.671.640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9.829.683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9.859.518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9.864.878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77,6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u Puli  osiguravaju se sredstva za: rashode za zaposlene (plaće za redovan rad, doprinosi poslodavca, plaće za posebne uvjete rada), ostale rashode za zaposlene (regres, božićnica, jubilarne nagrade, otpremnine, pom</w:t>
      </w:r>
      <w:r>
        <w:t xml:space="preserve">oći i dar za djecu povodom sv. Nikole), materijalne rashode (prijevoz zaposlenika na posao i s posla, sistematski pregledi, novčana naknada poslodavca zbog nezapošljavanja osoba s invaliditetom),  tekuće donacije, studentske programe studenata. U Državnom </w:t>
      </w:r>
      <w:r>
        <w:t>proračunu osiguravaju se sredstva za plaće i naknade za 265 zaposlenika Sveučilišta Jurja Dobrile u Puli.</w:t>
      </w:r>
    </w:p>
    <w:p w:rsidR="006A2490" w:rsidRDefault="008D5303">
      <w:pPr>
        <w:pStyle w:val="Heading4"/>
      </w:pPr>
      <w:r>
        <w:t>A621180 REKTORSKI ZBOR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5"/>
        <w:gridCol w:w="1565"/>
        <w:gridCol w:w="1549"/>
        <w:gridCol w:w="1549"/>
        <w:gridCol w:w="1549"/>
        <w:gridCol w:w="1549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</w:t>
            </w:r>
            <w:r>
              <w:rPr>
                <w:rFonts w:cs="Times New Roman"/>
              </w:rPr>
              <w:t>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A621180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15.927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15.927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15.927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15.927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15.927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100,0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planiraju se sredstva za troškove rada Rektorskog zbora. Ministarstvo, temeljem odluke o isplati sredstava za rad Rektorskog zbora, doznačuje sredstva onomu sveučilištu koje predsjeda Rektorskim zborom. Sveučilište kojemu su doznačena s</w:t>
      </w:r>
      <w:r>
        <w:t>redstva ima obvezu do kraja tekuće kalendarske godine Ministarstvu poslati izvještaj o trošenju sredstava.</w:t>
      </w:r>
    </w:p>
    <w:p w:rsidR="006A2490" w:rsidRDefault="008D5303">
      <w:pPr>
        <w:pStyle w:val="Heading4"/>
      </w:pPr>
      <w:r>
        <w:t>A621181 PRAVOMOĆNE SUDSKE PRESUDE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Temeljni kolektivni ugovor za službenike i namještenike u javnim službama i Kolektivni ugovor za znanost i visoko obrazovanje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6"/>
        <w:gridCol w:w="1557"/>
        <w:gridCol w:w="1557"/>
        <w:gridCol w:w="1557"/>
        <w:gridCol w:w="1557"/>
        <w:gridCol w:w="1542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</w:t>
            </w:r>
            <w:r>
              <w:rPr>
                <w:rFonts w:cs="Times New Roman"/>
              </w:rPr>
              <w:t>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A621181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3.383.320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4.171.300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1.285.610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1.285.610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954.918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30,8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planiraju se sredstava za pokriće pravomoćnih sudskih presuda temeljem tužbi zaposlenika radi isplate prava iz temeljnog i granskog kolektivnog ugovora (božićnice, naknade plaće za posebne uvjete rada,  povećanja osnovice za izračun pla</w:t>
      </w:r>
      <w:r>
        <w:t xml:space="preserve">će, troškova izrade, tiska i opreme doktorata, i sl.)     </w:t>
      </w:r>
    </w:p>
    <w:p w:rsidR="006A2490" w:rsidRDefault="008D5303">
      <w:r>
        <w:t>Izračun potrebnih sredstava utvrđen je sukladno podacima dobivenima od strane javnih visokih učilišta i županijskog državnog odvjetništva o pokrenutim tužbama i sporazumima za mirno rješavanje spor</w:t>
      </w:r>
      <w:r>
        <w:t>ova.</w:t>
      </w:r>
    </w:p>
    <w:p w:rsidR="006A2490" w:rsidRDefault="008D5303">
      <w:pPr>
        <w:pStyle w:val="Heading4"/>
      </w:pPr>
      <w:r>
        <w:t>A621183 STIPENDIJE I ŠKOLARINE ZA DOKTORSKI STUDIJ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Kolektivni ugovor za znanost i visoko obrazovanje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5"/>
        <w:gridCol w:w="1565"/>
        <w:gridCol w:w="1549"/>
        <w:gridCol w:w="1549"/>
        <w:gridCol w:w="1549"/>
        <w:gridCol w:w="1549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A621183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45.751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63.043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66.361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66.361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66.361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105,3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planiraju se sredstava za pokriće troškova povezanih s izradom, tiskom i opremom doktorske disertacije u visini do najviše 464,53 EUR, a koji se dokazuju računima te sredstava za sufinanciranje troškova škol</w:t>
      </w:r>
      <w:r>
        <w:t>arine za zaposlenike javnih visokih učilišta zaposlenih  na suradničkom radnom mjestu asistenta a koji su radi izvršenja zakonske obveze dužni upisati i redovito pohađati poslijediplomski sveučilišni studij (doktorski studiji).</w:t>
      </w:r>
    </w:p>
    <w:p w:rsidR="006A2490" w:rsidRDefault="008D5303">
      <w:pPr>
        <w:pStyle w:val="Heading4"/>
      </w:pPr>
      <w:r>
        <w:t>A622122 PROGRAMSKO FINANCIRANJE JAVNIH VISOKIH UČILIŠTA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znanstvenoj djelatnosti i visokom obrazovanju.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A622122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58.783.013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56.539.915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56.196.004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56.196.004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56.196.004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99,4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Sukladno Zakon o visokom obrazovanju i znanstveoj djelatnosti javna visoka učilišta financiraju se sredstvima iz državnog proračuna Republike Hrvatske kroz programske ugovore.  </w:t>
      </w:r>
    </w:p>
    <w:p w:rsidR="006A2490" w:rsidRDefault="008D5303">
      <w:r>
        <w:t>Programski ugovor zaključuje ministar s javnim visokim učilištem na razdoblje od četiri godine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</w:t>
            </w:r>
            <w:r>
              <w:rPr>
                <w:rFonts w:cs="Times New Roman"/>
              </w:rPr>
              <w:t>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plaćenih subvencija participacije u troškovima studija za  STEM studije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Postotak studenata koji su stekli uvjete za punu subvenciju particiapcije u troškovima studija na studijskim programima u STEM području u odnosu na ukupna broj studenata koji su stekli subvenciju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53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MZO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53,5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54,5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A679071 EU PROJEKTI SVEUČILIŠTA U OSIJEKU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6"/>
        <w:gridCol w:w="1560"/>
        <w:gridCol w:w="1560"/>
        <w:gridCol w:w="1560"/>
        <w:gridCol w:w="1545"/>
        <w:gridCol w:w="154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</w:t>
            </w:r>
            <w:r>
              <w:rPr>
                <w:rFonts w:cs="Times New Roman"/>
              </w:rPr>
              <w:t>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2.955.535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2.893.671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1.259.138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534.297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193.226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43,5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28 projekata u 2024. godini koje sastavnice Sveučilišta u Osijeku ostvaruju direktno iz inozemstva ili preko posredničkih tijela odnosno drugih nositelja projekata u RH. Za provedbu projekata je planirano uku</w:t>
      </w:r>
      <w:r>
        <w:t xml:space="preserve">pno 1,986,661 EUR, od čega će se 63% financirati u 2024. godini, 27% u 2025. te 10% u 2026. godini. </w:t>
      </w:r>
    </w:p>
    <w:p w:rsidR="006A2490" w:rsidRDefault="008D5303">
      <w:r>
        <w:t>Za provedbu projekata planirana su sredstva u iznosu od 130,038 EUR za plaće zaposlenika, 877,912 EUR za materijalne rashode, 650,000 EUR za naknade građan</w:t>
      </w:r>
      <w:r>
        <w:t>ima i kućanstvima, 244,125 EUR rashode za nabavu nefinancijske imovine te 84,586 EUR za ostale rashode.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28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30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32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 xml:space="preserve">A679072 EU PROJEKTI SVEUČILIŠTA U RIJECI (IZ EVIDENCIJSKIH </w:t>
      </w:r>
      <w:r>
        <w:t>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4.868.991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5.582.114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4.553.720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2.946.168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2.337.631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81,6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81 projekata u 2024. godini koje sastavnice Sveučilišta u Rijeci ostvaruju direktno iz inozemstva ili preko posredničkih tijela odnosno drugih nositelja projekata u RH. Za provedbu projekata je planirano ukup</w:t>
      </w:r>
      <w:r>
        <w:t xml:space="preserve">no 9,837,519 EUR, od čega će se 46% financirati u 2024. godini, 30 % u 2025. godini te 24 % u 2026. godini.   </w:t>
      </w:r>
    </w:p>
    <w:p w:rsidR="006A2490" w:rsidRDefault="008D5303">
      <w:r>
        <w:t>Za provedbu projekata planirana su sredstva u iznosu od 4,218,550 EUR za plaće zaposlenika, 1,851,557 EUR za materijalne rashode, 1,104,485 EUR z</w:t>
      </w:r>
      <w:r>
        <w:t>a subvencije, 401,273 EUR za pomoći dane u inozemstvo i unutar općeg proračuna, 1,836,771 EUR za naknade građanima i kućanstvima i 416,227 EUR rashode za nabavu nefinancijske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</w:t>
            </w:r>
            <w:r>
              <w:rPr>
                <w:rFonts w:cs="Times New Roman"/>
              </w:rPr>
              <w:t>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53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81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83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85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10,5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</w:t>
            </w:r>
            <w:r>
              <w:rPr>
                <w:rFonts w:cs="Times New Roman"/>
              </w:rPr>
              <w:t>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7,9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8,5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8,8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A679073 EU PROJEKTI SVEUČILIŠTA U DUBROVNIKU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8"/>
        <w:gridCol w:w="1554"/>
        <w:gridCol w:w="1561"/>
        <w:gridCol w:w="1561"/>
        <w:gridCol w:w="1546"/>
        <w:gridCol w:w="1546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375.897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2.373.747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1.461.528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538.588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210.632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61,6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15 projekata u 2024. godini koja Sveučilište u Dubrovniku ostvaruje direktno iz inozemstva ili preko posredničkih tijela odnosno drugih nositelja projekata u RH. Za provedbu projekata je planirano ukupno 2,21</w:t>
      </w:r>
      <w:r>
        <w:t xml:space="preserve">0,748 EUR, od čega će se 66 % financirati u 2024. godini, 24% u 2025. te 10 % u 2026. godini. </w:t>
      </w:r>
    </w:p>
    <w:p w:rsidR="006A2490" w:rsidRDefault="008D5303">
      <w:r>
        <w:t>Za provedbu projekata planirana su sredstva u iznosu od 654,183 EUR za plaće zaposlenika, 395,425 EUR za materijalne rashode, 492,049 EUR za pomoći dane u inozem</w:t>
      </w:r>
      <w:r>
        <w:t>stvo i unutar općeg proračuna, 328,845 EUR za naknade građanima i kućanstvima,  70,801 EUR za ostale rashode te 262,586 EUR za rashode za nabavu nefinancijske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 xml:space="preserve">Izvor </w:t>
            </w:r>
            <w:r>
              <w:rPr>
                <w:rFonts w:cs="Times New Roman"/>
              </w:rPr>
              <w:t>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18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20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31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</w:t>
            </w:r>
            <w:r>
              <w:rPr>
                <w:rFonts w:cs="Times New Roman"/>
              </w:rPr>
              <w:t>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18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26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A679074 EU PROJEKTI SVEUČILIŠTA U ZADRU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6"/>
        <w:gridCol w:w="1560"/>
        <w:gridCol w:w="1560"/>
        <w:gridCol w:w="1560"/>
        <w:gridCol w:w="1545"/>
        <w:gridCol w:w="154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4.562.514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2.149.602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1.754.483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900.581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407.575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81,6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12 projekata u 2024. godini koja Sveučilište u Zadru ostvaruje direktno iz inozemstva ili preko posredničkih tijela odnosno drugih nositelja projekata u RH. Za provedbu projekata je planirano ukupno 3,062,639</w:t>
      </w:r>
      <w:r>
        <w:t xml:space="preserve"> EUR, od čega će se 57% financirati u 2024. godini, 29% u 2025. godini te 13% u 2026. godini.   </w:t>
      </w:r>
    </w:p>
    <w:p w:rsidR="006A2490" w:rsidRDefault="008D5303">
      <w:r>
        <w:t>Za provedbu projekata planirana su sredstva u iznosu od 1,523,539 EUR za plaće zaposlenika, 422,723 EUR za materijalne rashode, 116,000 EUR za pomoći dane u in</w:t>
      </w:r>
      <w:r>
        <w:t>ozemstvo i unutar općeg proračuna, 977,672 EUR za naknade građanima i kućanstvima, 6,039 EUR za ostale rashode te 16,666 EUR rashode za nabavu nefinancijske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</w:t>
            </w:r>
            <w:r>
              <w:rPr>
                <w:rFonts w:cs="Times New Roman"/>
              </w:rPr>
              <w:t>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12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16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13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A679075 EU PROJEKTI SVEUČILIŠTA U PULI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580.623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663.411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554.262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154.877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209.212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83,5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12 projekata u 2024. godini koja Sveučilište u Puli ostvaruje direktno iz inozemstva ili preko posredničkih tijela odnosno drugih nositelja projekata u RH. Za provedbu projekata je planirano ukupno 918,351 EU</w:t>
      </w:r>
      <w:r>
        <w:t xml:space="preserve">R, od čega će se 60% financirati u 2024. godini, 17% u 2025., te 23% u 2026. godini.   </w:t>
      </w:r>
    </w:p>
    <w:p w:rsidR="006A2490" w:rsidRDefault="008D5303">
      <w:r>
        <w:t>Za provedbu projekata planirana su sredstva u iznosu od 216,421 EUR za plaće zaposlenika te 699,930 EUR za materijalne rashode.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</w:t>
            </w:r>
            <w:r>
              <w:t>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13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14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</w:t>
            </w:r>
            <w:r>
              <w:rPr>
                <w:rFonts w:cs="Times New Roman"/>
              </w:rPr>
              <w:t>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A679076 EU PROJEKTI VELEUČILIŠTA I VISOKIH ŠKOLA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8"/>
        <w:gridCol w:w="1562"/>
        <w:gridCol w:w="1562"/>
        <w:gridCol w:w="1548"/>
        <w:gridCol w:w="1548"/>
        <w:gridCol w:w="1548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1.301.882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1.429.373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340.572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215.454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168.353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23,8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11 projekata u 2024. godini koja veleučilišta i visoke škole ostvaruju direktno iz inozemstva ili preko posredničkih tijela odnosno drugih nositelja projekata u RH. Za provedbu projekata je planirano kupno 72</w:t>
      </w:r>
      <w:r>
        <w:t xml:space="preserve">4,379 EUR, od čega će se 47% financirati u 2024. godini, 30% u 2025. godini te 23% u 2026. godini.   </w:t>
      </w:r>
    </w:p>
    <w:p w:rsidR="006A2490" w:rsidRDefault="008D5303">
      <w:r>
        <w:t>Za provedbu projekata planirana su sredstva u iznosu od 151,844 EUR za plaće zaposlenika, 273,850 EUR za materijalne rashode, 205,650 EUR za naknade građa</w:t>
      </w:r>
      <w:r>
        <w:t>nima i kućanstvima  te 93,035 EUR za rashode za nabavu nefinancijske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13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 xml:space="preserve">A679077 EU PROJEKTI SVEUČILIŠTA U SPLITU (IZ EVIDENCIJSKIH </w:t>
      </w:r>
      <w:r>
        <w:t>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5.856.445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6.272.049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5.469.017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2.507.907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1.025.676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87,2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64 projekta u 2024. godini koje sastavnice Sveučilišta u Splitu ostvaruju direktno iz inozemstva ili preko posredničkih tijela odnosno drugih nositelja projekata u RH. Za provedbu projekata je planirano ukupn</w:t>
      </w:r>
      <w:r>
        <w:t xml:space="preserve">o 9,002,600 EUR, od čega će se 61% financirati u 2024. godini, 28% u 2025. godini te 11% u 2026. godini.   </w:t>
      </w:r>
    </w:p>
    <w:p w:rsidR="006A2490" w:rsidRDefault="008D5303">
      <w:r>
        <w:t>Za provedbu projekata planirana su sredstva u iznosu od 151,844 EUR za plaće zaposlenika, 273,850 EUR za materijalne rashode, 205,650 EUR za naknade</w:t>
      </w:r>
      <w:r>
        <w:t xml:space="preserve"> građanima i kućanstvima te 93,035 EUR za rashode za nabavu nefinancijske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</w:t>
            </w:r>
            <w:r>
              <w:rPr>
                <w:rFonts w:cs="Times New Roman"/>
              </w:rPr>
              <w:t>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38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70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76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13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A679078 EU PROJEKTI SVEUČILIŠTA U ZAGREBU (IZ EVIDENCIJS</w:t>
      </w:r>
      <w:r>
        <w:t>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6"/>
        <w:gridCol w:w="1559"/>
        <w:gridCol w:w="1558"/>
        <w:gridCol w:w="1558"/>
        <w:gridCol w:w="1558"/>
        <w:gridCol w:w="154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A679078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26.219.565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26.735.597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18.543.967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10.460.212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3.895.556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69,4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223 projekta u 2024. godini koje sastavnice Sveučilišta u Zagrebu ostvaruju direktno iz inozemstva ili preko posredničkih tijela odnosno drugih nositelja projekata u RH. Za provedbu projekata je planirano uku</w:t>
      </w:r>
      <w:r>
        <w:t xml:space="preserve">pno 32,899,735 EUR, od čega će se 56% financirati u 2024. godini, 32% u 2025. godini te 12% u 2026. godini.   </w:t>
      </w:r>
    </w:p>
    <w:p w:rsidR="006A2490" w:rsidRDefault="008D5303">
      <w:r>
        <w:t xml:space="preserve">Za provedbu projekata planirana su sredstva u iznosu od 13,974,797 EUR za plaće zaposlenika, 9,748,374 EUR za materijalne rashode, 1,093,913 EUR </w:t>
      </w:r>
      <w:r>
        <w:t>za pomoći dane u inozemstvo i unutar općeg proračuna, 6,567,067 EUR za naknade građanima i kućanstvima te 1,141,371 EUR za rashode za nabavu nefinancijske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</w:t>
            </w:r>
            <w:r>
              <w:rPr>
                <w:rFonts w:cs="Times New Roman"/>
              </w:rPr>
              <w:t>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167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223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233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343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</w:t>
            </w:r>
            <w:r>
              <w:rPr>
                <w:rFonts w:cs="Times New Roman"/>
              </w:rPr>
              <w:t>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A679080 REDOVNA DJELATNOST SVEUČILIŠTA SJEVER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visokom obrazovanju i znanosti; Zakon o plaćama u javnim službama; Temeljni ko</w:t>
      </w:r>
      <w:r>
        <w:t>lektivni ugovor za službenike i namještenike u javnim službama; Kolektivni ugovor za znanost i visoko obrazovanje; Sporazum o dodatku na plaću zaposlenima u osnovnoškolskim i srednjoškolskim ustanovama, te ustanovama u znanosti i visokom obrazovanju; Uredb</w:t>
      </w:r>
      <w:r>
        <w:t>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A679080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5.124.462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6.196.620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9.324.556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6.851.315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6.854.990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150,5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Sjever osiguravaju se sredstva za: rashode za zaposlene (plaće za redovan rad, doprinosi poslodavca, plaće za posebne uvjete rada), ostale rashode za zaposlene (regres, božićnica, jubilarne nagrade, otpremnine, pomo</w:t>
      </w:r>
      <w:r>
        <w:t>ći i dar za djecu povodom sv. Nikole), materijalne rashode (prijevoz zaposlenika na posao i s posla, sistematski pregledi, novčana naknada poslodavca zbog nezapošljavanja osoba s invaliditetom),  tekuće donacije, studentske programe studenata. U Državnom p</w:t>
      </w:r>
      <w:r>
        <w:t xml:space="preserve">roračunu osiguravaju se sredstva za plaće i naknade za 194 zaposlenika Sveučilišta Sjever.  </w:t>
      </w:r>
    </w:p>
    <w:p w:rsidR="006A2490" w:rsidRDefault="008D5303">
      <w:r>
        <w:t>Nadalje, planira se i rekonstrukcija i adaptacija dvije građevine u prostoru vojarne za potrebe Sveučilišta Sjever.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</w:t>
            </w:r>
            <w:r>
              <w:rPr>
                <w:rFonts w:cs="Times New Roman"/>
              </w:rPr>
              <w:t>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Povećanje prostornih kapaciteta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Prostor za potrebe Sveučilišta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m²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MZO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4000</w:t>
            </w:r>
          </w:p>
        </w:tc>
        <w:tc>
          <w:tcPr>
            <w:tcW w:w="918" w:type="dxa"/>
          </w:tcPr>
          <w:p w:rsidR="006A2490" w:rsidRDefault="006A2490">
            <w:pPr>
              <w:jc w:val="left"/>
            </w:pP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A679081 EU PROJEKTI SVEUČILIŠTA SJEVER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2"/>
        <w:gridCol w:w="1558"/>
        <w:gridCol w:w="1565"/>
        <w:gridCol w:w="1550"/>
        <w:gridCol w:w="1550"/>
        <w:gridCol w:w="1541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</w:t>
            </w:r>
            <w:r>
              <w:rPr>
                <w:rFonts w:cs="Times New Roman"/>
              </w:rPr>
              <w:t>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A679081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298.080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1.116.583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239.817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221.536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66.339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21,5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Planiranim sredstvima financirat će se provedba 4 projekta u 2024. godini koja Sveučilište Sjever ostvaruje direktno iz inozemstva ili preko posredničkih tijela odnosno drugih nositelja projekata u RH. Za provedbu projekata je planirano ukupno 527,692 EUR,</w:t>
      </w:r>
      <w:r>
        <w:t xml:space="preserve"> od čega će se 45% financirati u 2024. godini, 42% u 2025. godini te 13% u 2026. godini.   </w:t>
      </w:r>
    </w:p>
    <w:p w:rsidR="006A2490" w:rsidRDefault="008D5303">
      <w:r>
        <w:t>Za provedbu projekata planirana su sredstva u iznosu od 93,040 EUR za plaće zaposlenika te  434,652 za materijalne rashode.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</w:t>
            </w:r>
            <w:r>
              <w:t>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17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8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A679088 REDOVNA DJELATNOST SVEUČILIŠTA U ZAGREBU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A679088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84.137.772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96.924.054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93.049.052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83.905.944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81.432.142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96,0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U okviru aktivnosti planirani su rashodi i izdaci proračunskih korisnika treće razine koji se financiraju iz vlastitih prihoda i namjenskih prihoda i primitaka koji su izuzeti od uplate u proračun. Navedeni prihodi i primici te rashodi i izdaci u državnom </w:t>
      </w:r>
      <w:r>
        <w:t>proračunu iskazuju se evidencijski radi cjelovitog iskazivanja financijskih planova proračunskih korisnika državnog proračuna. Ostvarenje i trošenje vlastitih i namjenskih prihoda i primitaka navedenih korisnika iskazuje se mjesečno u sustavu državne rizni</w:t>
      </w:r>
      <w:r>
        <w:t xml:space="preserve">ce temeljem dostavljenih podataka.  </w:t>
      </w:r>
    </w:p>
    <w:p w:rsidR="006A2490" w:rsidRDefault="008D5303">
      <w:r>
        <w:t xml:space="preserve">Ova aktivnost sastoji se od sljedećih elemenata/podaktivnosti za Sveučilište u Zagrebu i njegovih 35 sastavnica (korisnika):  </w:t>
      </w:r>
    </w:p>
    <w:p w:rsidR="006A2490" w:rsidRDefault="008D5303">
      <w:r>
        <w:t>1. Rashodi i izdaci za redovnu djelatnost koji se financiraju iz vlastitih prihoda korisnika</w:t>
      </w:r>
      <w:r>
        <w:t xml:space="preserve"> odnosno prihoda koje korisnici ostvaruju obavljanjem poslova na tržištu i u tržišnim uvjetima, a koje poslove mogu obavljati i drugi subjekti izvan općeg proračuna primjerice od stručnih projekata, elaborata i ekspertiza, iznajmljivanje prostora i sl.  </w:t>
      </w:r>
    </w:p>
    <w:p w:rsidR="006A2490" w:rsidRDefault="008D5303">
      <w:r>
        <w:t>2</w:t>
      </w:r>
      <w:r>
        <w:t>. Rashodi i izdaci za redovnu djelatnost koji se financiraju iz namjenskih prihoda korisnika, a koji se najvećim dijelom ostvaruju od participacija studenata u troškovima studija na akreditiranim studijskim programima, ali i od donacija te pomoći iz inozem</w:t>
      </w:r>
      <w:r>
        <w:t xml:space="preserve">stva i unutar općeg proračuna.  </w:t>
      </w:r>
    </w:p>
    <w:p w:rsidR="006A2490" w:rsidRDefault="008D5303">
      <w:r>
        <w:t>Za financiranje redovne djelatnosti iz vlastitih i namjenskih izvora financiranja u 2024. planirana su sredstva u iznosu od 33,937,181 EUR  za plaće zaposlenika, 41,167,674 EUR za materijalne rashode, te 16,649,097 EUR za r</w:t>
      </w:r>
      <w:r>
        <w:t xml:space="preserve">ashode za nabavu nefinancijske imovine te ostale rashode i izdatke u iznosu 1,295,100 EUR.   </w:t>
      </w:r>
    </w:p>
    <w:p w:rsidR="006A2490" w:rsidRDefault="008D5303">
      <w:r>
        <w:t>Za financiranje redovne djelatnosti iz vlastitih i namjenskih izvora financiranja u 2025. planirana su sredstva u iznosu od 32,468,533 EUR za plaće zaposlenika, 3</w:t>
      </w:r>
      <w:r>
        <w:t xml:space="preserve">9,003,297 EUR za materijalne rashode,  11,382,958 EUR za rashode za nabavu nefinancijske imovine te ostale rashode i izdatke u iznosu 1,051,156 EUR.  </w:t>
      </w:r>
    </w:p>
    <w:p w:rsidR="006A2490" w:rsidRDefault="008D5303">
      <w:r>
        <w:t>Za financiranje redovne djelatnosti iz vlastitih i namjenskih izvora financiranja u 2026. planirana su sr</w:t>
      </w:r>
      <w:r>
        <w:t>edstva u iznosu od 31,211,804 EUR za plaće zaposlenika, 37,971,060 EUR za materijalne rashode,  11,330,572 EUR za rashode za nabavu nefinancijske imovine te ostale rashode i izdatke u iznosu 918,706 EUR.</w:t>
      </w:r>
    </w:p>
    <w:p w:rsidR="006A2490" w:rsidRDefault="008D5303">
      <w:pPr>
        <w:pStyle w:val="Heading4"/>
      </w:pPr>
      <w:r>
        <w:t xml:space="preserve">A679089 REDOVNA DJELATNOST SVEUČILIŠTA U RIJECI (IZ </w:t>
      </w:r>
      <w:r>
        <w:t>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A679089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19.824.259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19.788.174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17.904.252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15.831.433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15.360.695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90,5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U okviru aktivnosti planirani su rashodi i izdaci proračunskih korisnika treće razine koji se financiraju iz vlastitih prihoda i namjenskih prihoda i primitaka koji su izuzeti od uplate u proračun. Navedeni prihodi i primici te rashodi i izdaci u državnom </w:t>
      </w:r>
      <w:r>
        <w:t>proračunu iskazuju se evidencijski radi cjelovitog iskazivanja financijskih planova proračunskih korisnika državnog proračuna. Ostvarenje i trošenje vlastitih i namjenskih prihoda i primitaka navedenih korisnika iskazuje se mjesečno u sustavu državne rizni</w:t>
      </w:r>
      <w:r>
        <w:t xml:space="preserve">ce temeljem dostavljenih podataka.  </w:t>
      </w:r>
    </w:p>
    <w:p w:rsidR="006A2490" w:rsidRDefault="008D5303">
      <w:r>
        <w:t xml:space="preserve">Ova aktivnost sastoji se od sljedećih elemenata/podaktivnosti za Sveučilište u Rijeci i njegovih 13 sastavnica (korisnika):  </w:t>
      </w:r>
    </w:p>
    <w:p w:rsidR="006A2490" w:rsidRDefault="008D5303">
      <w:r>
        <w:t>1. Rashodi i izdaci za redovnu djelatnost koji se financiraju iz vlastitih prihoda sveučilišt</w:t>
      </w:r>
      <w:r>
        <w:t>a i njegovih sastavnica odnosno prihoda koje sveučilište i njegove sastavnice ostvaruje obavljanjem poslova na tržištu i u tržišnim uvjetima, a koje poslove mogu obavljati i drugi subjekti izvan općeg proračuna primjerice od stručnih projekata, elaborata i</w:t>
      </w:r>
      <w:r>
        <w:t xml:space="preserve"> ekspertiza, iznajmljivanje prostora i sl.  </w:t>
      </w:r>
    </w:p>
    <w:p w:rsidR="006A2490" w:rsidRDefault="008D5303">
      <w:r>
        <w:t>2. Rashodi i izdaci za redovnu djelatnost koji se financiraju iz namjenskih prihoda korisnika, a koji se najvećim dijelom ostvaruju od participacija studenata u troškovima studija na akreditiranim studijskim pro</w:t>
      </w:r>
      <w:r>
        <w:t xml:space="preserve">gramima, ali i od donacija te pomoći iz inozemstva i unutar općeg proračuna.  </w:t>
      </w:r>
    </w:p>
    <w:p w:rsidR="006A2490" w:rsidRDefault="008D5303">
      <w:r>
        <w:t xml:space="preserve">Za financiranje redovne djelatnosti iz vlastitih i namjenskih izvora financiranja u 2024. planirana su sredstva u iznosu od 7,212,710 EUR za plaće zaposlenika, 7,752,244 EUR za </w:t>
      </w:r>
      <w:r>
        <w:t xml:space="preserve">materijalne rashode, 2,081,315 EUR za rashode za nabavu nefinancijske imovine te ostale rashode i izdatke u iznosu 857,983 EUR.  </w:t>
      </w:r>
    </w:p>
    <w:p w:rsidR="006A2490" w:rsidRDefault="008D5303">
      <w:r>
        <w:t>Za financiranje redovne djelatnosti iz vlastitih i namjenskih izvora financiranja u 2025. planirana su sredstva u iznosu od 6,</w:t>
      </w:r>
      <w:r>
        <w:t xml:space="preserve">616,544 EUR za plaće zaposlenika, 7,249,895 EUR za materijalne rashode, 1,187,716 EUR za rashode za nabavu nefinancijske imovine te ostale rashode i izdatke u iznosu 777,278 EUR. </w:t>
      </w:r>
    </w:p>
    <w:p w:rsidR="006A2490" w:rsidRDefault="008D5303">
      <w:r>
        <w:t>Za financiranje redovne djelatnosti iz vlastitih i namjenskih izvora financi</w:t>
      </w:r>
      <w:r>
        <w:t>ranja u 2026. planirana su sredstva u iznosu od 6,519,794 EUR za plaće zaposlenika, 6,862,665 EUR za materijalne rashode, 1,197,189 EUR za rashode za nabavu nefinancijske imovine te ostale rashode i izdatke u iznosu 781,047 EUR.</w:t>
      </w:r>
    </w:p>
    <w:p w:rsidR="006A2490" w:rsidRDefault="008D5303">
      <w:pPr>
        <w:pStyle w:val="Heading4"/>
      </w:pPr>
      <w:r>
        <w:t xml:space="preserve">A679090 REDOVNA DJELATNOST </w:t>
      </w:r>
      <w:r>
        <w:t>SVEUČILIŠTA U OSIJEKU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17.556.658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20.483.855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19.147.593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15.520.957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14.901.663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93,5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</w:t>
      </w:r>
      <w:r>
        <w:t xml:space="preserve"> proračun. Navedeni prihodi i primici te rashodi i izdaci u državnom proračunu iskazuju se evidencijski radi cjelovitog iskazivanja financijskih planova proračunskih korisnika državnog proračuna. Ostvarenje i trošenje vlastitih i namjenskih prihoda i primi</w:t>
      </w:r>
      <w:r>
        <w:t xml:space="preserve">taka navedenih korisnika iskazuje se mjesečno u sustavu državne riznice temeljem dostavljenih podataka.  </w:t>
      </w:r>
    </w:p>
    <w:p w:rsidR="006A2490" w:rsidRDefault="008D5303">
      <w:r>
        <w:t xml:space="preserve">Ova aktivnost sastoji se od sljedećih elemenata/podaktivnosti za Sveučilište u Osijek i njegovih 16 sastavnica (korisnika):  </w:t>
      </w:r>
    </w:p>
    <w:p w:rsidR="006A2490" w:rsidRDefault="008D5303">
      <w:r>
        <w:t>1. Rashodi i izdaci za redovnu djelatnost koji se financiraju iz vlastitih prihoda sveučilišta i njegovih sastavnica odnosno prihoda koje sveučilište i njegove sastavnice ostvaruje obavljanjem poslova na tržištu i u tržišnim uvjetima, a koje poslove mogu o</w:t>
      </w:r>
      <w:r>
        <w:t xml:space="preserve">bavljati i drugi subjekti izvan općeg proračuna primjerice od stručnih projekata, elaborata i ekspertiza, iznajmljivanje prostora i sl.  </w:t>
      </w:r>
    </w:p>
    <w:p w:rsidR="006A2490" w:rsidRDefault="008D5303">
      <w:r>
        <w:t>2. Rashodi i izdaci za redovnu djelatnost koji se financiraju iz namjenskih prihoda korisnika, a koji se najvećim dije</w:t>
      </w:r>
      <w:r>
        <w:t xml:space="preserve">lom ostvaruju od participacija studenata u troškovima studija na akreditiranim studijskim programima, ali i od donacija te pomoći iz inozemstva i unutar općeg proračuna.  </w:t>
      </w:r>
    </w:p>
    <w:p w:rsidR="006A2490" w:rsidRDefault="008D5303">
      <w:r>
        <w:t xml:space="preserve">Za financiranje redovne djelatnosti iz vlastitih i namjenskih izvora financiranja u </w:t>
      </w:r>
      <w:r>
        <w:t xml:space="preserve">2024. planirana su sredstva u iznosu od 4,667,369 EUR za plaće zaposlenika, 9,014,129 EUR za materijalne rashode, 4,130,743 EUR za rashode za nabavu nefinancijske imovine te ostale rashode i izdatke u iznosu 1,335,352 EUR. </w:t>
      </w:r>
    </w:p>
    <w:p w:rsidR="006A2490" w:rsidRDefault="008D5303">
      <w:r>
        <w:t>Za financiranje redovne djelatno</w:t>
      </w:r>
      <w:r>
        <w:t>sti iz vlastitih i namjenskih izvora financiranja u 2025. planirana su sredstva u iznosu od 4,184,858 EUR za plaće zaposlenika 7,624,6289 EUR za materijalne rashode, 2,422,969 EUR za rashode za nabavu nefinancijske imovine te ostale rashode i izdatke u izn</w:t>
      </w:r>
      <w:r>
        <w:t xml:space="preserve">osu 1,288,502 EUR. </w:t>
      </w:r>
    </w:p>
    <w:p w:rsidR="006A2490" w:rsidRDefault="008D5303">
      <w:r>
        <w:t>Za financiranje redovne djelatnosti iz vlastitih i namjenskih izvora financiranja u 2026. planirana su sredstva u iznosu od 3,895,865 EUR za plaće zaposlenika, 7,168,291 EUR za materijalne rashode, 2,556,358 EUR za rashode za nabavu nef</w:t>
      </w:r>
      <w:r>
        <w:t>inancijske imovine te ostale rashode i izdatke u iznosu 1,281,149 EUR.</w:t>
      </w:r>
    </w:p>
    <w:p w:rsidR="006A2490" w:rsidRDefault="008D5303">
      <w:pPr>
        <w:pStyle w:val="Heading4"/>
      </w:pPr>
      <w:r>
        <w:t>A679091 REDOVNA DJELATNOST SVEUČILIŠTA U SPLITU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</w:t>
            </w:r>
            <w:r>
              <w:rPr>
                <w:rFonts w:cs="Times New Roman"/>
              </w:rPr>
              <w:t>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19.974.967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20.877.647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21.535.375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17.544.162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16.925.208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103,2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za Sveučilište u Splitu i njegovih 14 sastavnica (korisnika):  </w:t>
      </w:r>
    </w:p>
    <w:p w:rsidR="006A2490" w:rsidRDefault="008D5303">
      <w:r>
        <w:t>1. Rashodi i izdaci za redovnu djelatnost koji se financiraju iz vlastitih prihoda sveučilišta</w:t>
      </w:r>
      <w:r>
        <w:t xml:space="preserve"> i njegovih sastavnica odnosno prihoda koje sveučilište i njegove sastavnice ostvaruje obavljanjem poslova na tržištu i u tržišnim uvjetima, a koje poslove mogu obavljati i drugi subjekti izvan općeg proračuna primjerice od stručnih projekata, elaborata i </w:t>
      </w:r>
      <w:r>
        <w:t xml:space="preserve">ekspertiza, iznajmljivanje prostora i sl.  </w:t>
      </w:r>
    </w:p>
    <w:p w:rsidR="006A2490" w:rsidRDefault="008D5303">
      <w:r>
        <w:t>2. Rashodi i izdaci za redovnu djelatnost koji se financiraju iz namjenskih prihoda korisnika, a koji se najvećim dijelom ostvaruju od participacija studenata u troškovima studija na akreditiranim studijskim prog</w:t>
      </w:r>
      <w:r>
        <w:t xml:space="preserve">ramima, ali i od donacija te pomoći iz inozemstva i unutar općeg proračuna.  </w:t>
      </w:r>
    </w:p>
    <w:p w:rsidR="006A2490" w:rsidRDefault="008D5303">
      <w:r>
        <w:t>Za financiranje redovne djelatnosti iz vlastitih i namjenskih izvora financiranja u 2024. planirana su sredstva u iznosu od 8,664,477 EUR za plaće zaposlenika, 7,900,497 EUR za m</w:t>
      </w:r>
      <w:r>
        <w:t xml:space="preserve">aterijalne rashode, 4,475,028 EUR za rashode za nabavu nefinancijske imovine te za ostale rashode 495,373 EUR. </w:t>
      </w:r>
    </w:p>
    <w:p w:rsidR="006A2490" w:rsidRDefault="008D5303">
      <w:r>
        <w:t>Za financiranje redovne djelatnosti iz vlastitih i namjenskih izvora financiranja u 2025. planirana su sredstva u iznosu od 8,106,167 EUR za pla</w:t>
      </w:r>
      <w:r>
        <w:t xml:space="preserve">će zaposlenika, 7,228,996 EUR za materijalne rashode, 1,717,166 EUR za rashode za nabavu nefinancijske imovine te za ostale rashode 491,833 EUR. </w:t>
      </w:r>
    </w:p>
    <w:p w:rsidR="006A2490" w:rsidRDefault="008D5303">
      <w:r>
        <w:t>Za financiranje redovne djelatnosti iz vlastitih i namjenskih izvora financiranja u 2026. planirana su sredstv</w:t>
      </w:r>
      <w:r>
        <w:t>a u iznosu od 7,799,575 EUR za plaće zaposlenika, 7,023,563 EUR za materijalne rashode, 1,609,057 EUR za rashode za nabavu nefinancijske imovine te za ostale rashode 493,013 EUR.</w:t>
      </w:r>
    </w:p>
    <w:p w:rsidR="006A2490" w:rsidRDefault="008D5303">
      <w:pPr>
        <w:pStyle w:val="Heading4"/>
      </w:pPr>
      <w:r>
        <w:t>A679092 REDOVNA DJELATNOST SVEUČILIŠTA U ZADRU (IZ EVIDENCIJSKIH PRIHODA)</w:t>
      </w:r>
    </w:p>
    <w:p w:rsidR="006A2490" w:rsidRDefault="008D5303">
      <w:pPr>
        <w:pStyle w:val="Heading8"/>
        <w:jc w:val="left"/>
      </w:pPr>
      <w:r>
        <w:t>Zak</w:t>
      </w:r>
      <w:r>
        <w:t>onske i druge pravne osnove</w:t>
      </w:r>
    </w:p>
    <w:p w:rsidR="006A2490" w:rsidRDefault="008D5303">
      <w:r>
        <w:t>Zakon o proračunu;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4.522.675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4.326.156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4.037.003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3.937.833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3.846.851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93,3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za Sveučilište u Zadru:  </w:t>
      </w:r>
    </w:p>
    <w:p w:rsidR="006A2490" w:rsidRDefault="008D5303">
      <w:r>
        <w:t>1. Rashodi i izdaci za redovnu djelatnost koji se financiraju iz vlastitih prihoda sveučilišta odnosno prihoda koje sveučilište ostv</w:t>
      </w:r>
      <w:r>
        <w:t xml:space="preserve">aruje obavljanjem poslova na tržištu i u tržišnim uvjetima, a koje poslove mogu obavljati i drugi subjekti izvan općeg proračuna primjerice od stručnih projekata, elaborata i ekspertiza, iznajmljivanje prostora i sl.  </w:t>
      </w:r>
    </w:p>
    <w:p w:rsidR="006A2490" w:rsidRDefault="008D5303">
      <w:r>
        <w:t>2. Rashodi i izdaci za redovnu djelat</w:t>
      </w:r>
      <w:r>
        <w:t xml:space="preserve">nost koji se financiraju iz namjenskih prihoda korisnika, a koji se najvećim dijelom ostvaruju od participacija studenata u troškovima studija na akreditiranim studijskim programima, ali i od donacija te pomoći iz inozemstva i unutar općeg proračuna.  </w:t>
      </w:r>
    </w:p>
    <w:p w:rsidR="006A2490" w:rsidRDefault="008D5303">
      <w:r>
        <w:t xml:space="preserve">Za </w:t>
      </w:r>
      <w:r>
        <w:t>financiranje redovne djelatnosti iz vlastitih i namjenskih izvora financiranja u 2024. planirana su sredstva u iznosu od 1,420,639 EUR za plaće zaposlenika, 2,304,807 EUR za materijalne rashode, 225,348 EUR za rashode za nabavu nefinancijske imovine te ost</w:t>
      </w:r>
      <w:r>
        <w:t xml:space="preserve">ale rashode i izdatke u iznosu 86,209 EUR. </w:t>
      </w:r>
    </w:p>
    <w:p w:rsidR="006A2490" w:rsidRDefault="008D5303">
      <w:r>
        <w:t>Za financiranje redovne djelatnosti iz vlastitih i namjenskih izvora financiranja u 2025. planirana su sredstva u iznosu od 1,455,405 EUR za plaće zaposlenika, 2,194,606 EUR za materijalne rashode, 208,139 EUR za</w:t>
      </w:r>
      <w:r>
        <w:t xml:space="preserve"> rashode za nabavu nefinancijske imovine te ostale rashode i izdatke u iznosu 79,683 EUR. </w:t>
      </w:r>
    </w:p>
    <w:p w:rsidR="006A2490" w:rsidRDefault="008D5303">
      <w:r>
        <w:t>Za financiranje redovne djelatnosti iz vlastitih i namjenskih izvora financiranja u 2026. planirana su sredstva u iznosu od 1,403,253 EUR za plaće zaposlenika, 2,156</w:t>
      </w:r>
      <w:r>
        <w:t>,460 EUR za materijalne rashode, 207,455 EUR za rashode za nabavu nefinancijske imovine te ostale rashode i izdatke u iznosu 79,683 EUR.</w:t>
      </w:r>
    </w:p>
    <w:p w:rsidR="006A2490" w:rsidRDefault="008D5303">
      <w:pPr>
        <w:pStyle w:val="Heading4"/>
      </w:pPr>
      <w:r>
        <w:t>A679093 REDOVNA DJELATNOST SVEUČILIŠTA U DUBROVNIKU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</w:t>
      </w:r>
      <w:r>
        <w:t>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2.745.036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1.678.992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1.398.572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1.353.402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1.334.621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83,3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za Sveučilište u Dubrovniku:  </w:t>
      </w:r>
    </w:p>
    <w:p w:rsidR="006A2490" w:rsidRDefault="008D5303">
      <w:r>
        <w:t>1. Rashodi i izdaci za redovnu djelatnost koji se financiraju iz vlastitih prihoda sveučilišta odnosno prihoda koje sveučilište ostvaruje obavljanjem poslova na tržištu i u tržišnim uvjetima, a koje poslove mogu obavljati i drugi subjekti izvan općeg prora</w:t>
      </w:r>
      <w:r>
        <w:t xml:space="preserve">čuna primjerice od stručnih projekata, elaborata i ekspertiza, iznajmljivanje prostora i sl.  </w:t>
      </w:r>
    </w:p>
    <w:p w:rsidR="006A2490" w:rsidRDefault="008D5303">
      <w:r>
        <w:t xml:space="preserve">2. Rashodi i izdaci za redovnu djelatnost koji se financiraju iz namjenskih prihoda korisnika, a koji se najvećim dijelom ostvaruju od participacija studenata u </w:t>
      </w:r>
      <w:r>
        <w:t xml:space="preserve">troškovima studija na akreditiranim studijskim programima, ali i od donacija te pomoći iz inozemstva i unutar općeg proračuna.  </w:t>
      </w:r>
    </w:p>
    <w:p w:rsidR="006A2490" w:rsidRDefault="008D5303">
      <w:r>
        <w:t>Za financiranje redovne djelatnosti iz vlastitih i namjenskih izvora financiranja u 2024. planirana su sredstva u iznosu od 431</w:t>
      </w:r>
      <w:r>
        <w:t xml:space="preserve">,170 EUR za plaće zaposlenika, 933,857 EUR za materijalne rashode te za ostale rashode i izdatke u iznosu 33,545 EUR. </w:t>
      </w:r>
    </w:p>
    <w:p w:rsidR="006A2490" w:rsidRDefault="008D5303">
      <w:r>
        <w:t>Za financiranje redovne djelatnosti iz vlastitih i namjenskih izvora financiranja u 2025. planirana su sredstva u iznosu od 403,260 EUR z</w:t>
      </w:r>
      <w:r>
        <w:t xml:space="preserve">a plaće zaposlenika, 919,207 EUR za materijalne rashode, te za ostale rashode i izdatke u iznosu 30,935 EUR. </w:t>
      </w:r>
    </w:p>
    <w:p w:rsidR="006A2490" w:rsidRDefault="008D5303">
      <w:r>
        <w:t>Za financiranje redovne djelatnosti iz vlastitih i namjenskih izvora financiranja u 2026. planirana su sredstva u iznosu od 391,252 EUR za plaće z</w:t>
      </w:r>
      <w:r>
        <w:t>aposlenika, 912,434 EUR za materijalne rashode,  te za ostale rashode i izdatke u iznosu 30,935 EUR.</w:t>
      </w:r>
    </w:p>
    <w:p w:rsidR="006A2490" w:rsidRDefault="008D5303">
      <w:pPr>
        <w:pStyle w:val="Heading4"/>
      </w:pPr>
      <w:r>
        <w:t>A679094 REDOVNA DJELATNOST VELEUČILIŠTA I VISOKIH ŠKOLA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proračunu; Zakon o izvršavanju Dr</w:t>
      </w:r>
      <w:r>
        <w:t>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56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12.193.804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13.735.108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12.399.466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11.346.651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11.102.887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90,3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za 12 veleučilišta i visokih škola:  </w:t>
      </w:r>
    </w:p>
    <w:p w:rsidR="006A2490" w:rsidRDefault="008D5303">
      <w:r>
        <w:t xml:space="preserve">1. Rashodi i izdaci za redovnu djelatnost koji se financiraju iz vlastitih prihoda veleučilišta i visokih škola odnosno </w:t>
      </w:r>
      <w:r>
        <w:t xml:space="preserve">prihoda koje isti ostvaruju obavljanjem poslova na tržištu i u tržišnim uvjetima, a koje poslove mogu obavljati i drugi subjekti izvan općeg proračuna primjerice od stručnih projekata, elaborata i ekspertiza, iznajmljivanje prostora i sl.  </w:t>
      </w:r>
    </w:p>
    <w:p w:rsidR="006A2490" w:rsidRDefault="008D5303">
      <w:r>
        <w:t>2. Rashodi i iz</w:t>
      </w:r>
      <w:r>
        <w:t xml:space="preserve">daci za redovnu djelatnost koji se financiraju iz namjenskih prihoda korisnika, a koji se najvećim dijelom ostvaruju od participacija studenata u troškovima studija na akreditiranim studijskim programima, ali i od donacija te pomoći iz inozemstva i unutar </w:t>
      </w:r>
      <w:r>
        <w:t xml:space="preserve">općeg proračuna.  </w:t>
      </w:r>
    </w:p>
    <w:p w:rsidR="006A2490" w:rsidRDefault="008D5303">
      <w:r>
        <w:t>Za financiranje redovne djelatnosti iz vlastitih i namjenskih izvora financiranja u 2024. planirana su sredstva u iznosu od 4,345,659 EUR za plaće zaposlenika, 5,805,479 EUR za materijalne rashode,  1,926,906 EUR za rashode za nabavu nef</w:t>
      </w:r>
      <w:r>
        <w:t xml:space="preserve">inancijske imovine te za ostale rashode i izdatke iznos od 321,422 EUR. </w:t>
      </w:r>
    </w:p>
    <w:p w:rsidR="006A2490" w:rsidRDefault="008D5303">
      <w:r>
        <w:t>Za financiranje redovne djelatnosti iz vlastitih i namjenskih izvora financiranja u 2025. planirana su sredstva u iznosu od 4,338,210 EUR za plaće zaposlenika, 5,422,497 EUR za materi</w:t>
      </w:r>
      <w:r>
        <w:t xml:space="preserve">jalne rashode,  1,271,486 EUR za rashode za nabavu nefinancijske imovine te za ostale rashode i izdatke iznos od 314,458 EUR. </w:t>
      </w:r>
    </w:p>
    <w:p w:rsidR="006A2490" w:rsidRDefault="008D5303">
      <w:r>
        <w:t>Za financiranje redovne djelatnosti iz vlastitih i namjenskih izvora financiranja u 2026. planirana su sredstva u iznosu od 4,334</w:t>
      </w:r>
      <w:r>
        <w:t>,670 EUR za plaće zaposlenika, 5,344,745 EUR za materijalne rashode,  1,286,642 EUR za rashode za nabavu nefinancijske imovine te za ostale rashode i izdatke iznos od 136,830 EUR.</w:t>
      </w:r>
    </w:p>
    <w:p w:rsidR="006A2490" w:rsidRDefault="008D5303">
      <w:pPr>
        <w:pStyle w:val="Heading4"/>
      </w:pPr>
      <w:r>
        <w:t>A679095 REDOVNA DJELATNOST SVEUČILIŠTA U PULI (IZ EVIDENCIJSKIH PRIHODA)</w:t>
      </w:r>
    </w:p>
    <w:p w:rsidR="006A2490" w:rsidRDefault="008D5303">
      <w:pPr>
        <w:pStyle w:val="Heading8"/>
        <w:jc w:val="left"/>
      </w:pPr>
      <w:r>
        <w:t>Zak</w:t>
      </w:r>
      <w:r>
        <w:t>onske i druge pravne osnove</w:t>
      </w:r>
    </w:p>
    <w:p w:rsidR="006A2490" w:rsidRDefault="008D5303">
      <w:r>
        <w:t>Zakon o proračunu;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2.391.917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3.038.556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3.074.253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2.114.695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2.052.802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101,2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Sveučilišta u Puli:  </w:t>
      </w:r>
    </w:p>
    <w:p w:rsidR="006A2490" w:rsidRDefault="008D5303">
      <w:r>
        <w:t>1. Rashodi i izdaci za redovnu djelatnost koji se financiraju iz vlastitih prihoda sveučilišta odnosno prihoda koje sveučilište ostvaruj</w:t>
      </w:r>
      <w:r>
        <w:t xml:space="preserve">e obavljanjem poslova na tržištu i u tržišnim uvjetima, a koje poslove mogu obavljati i drugi subjekti izvan općeg proračuna primjerice od stručnih projekata, elaborata i ekspertiza, iznajmljivanje prostora i sl.  </w:t>
      </w:r>
    </w:p>
    <w:p w:rsidR="006A2490" w:rsidRDefault="008D5303">
      <w:r>
        <w:t>2. Rashodi i izdaci za redovnu djelatnost</w:t>
      </w:r>
      <w:r>
        <w:t xml:space="preserve"> koji se financiraj u iz namjenskih prihoda korisnika, a koji se najvećim dijelom ostvaruju od participacija studenata u troškovima studija na akreditiranim studijskim programima, ali i od donacija te pomoći iz inozemstva i unutar općeg proračuna.  </w:t>
      </w:r>
    </w:p>
    <w:p w:rsidR="006A2490" w:rsidRDefault="008D5303">
      <w:r>
        <w:t>Za fin</w:t>
      </w:r>
      <w:r>
        <w:t>anciranje redovne djelatnosti iz vlastitih i namjenskih izvora financiranja u 2024. planirana su sredstva u iznosu od 667,811 EUR za plaće zaposlenika, 2,165,866 EUR za materijalne rashode, 227,872 EUR za rashode za nabavu nefinancijske imovine te za ostal</w:t>
      </w:r>
      <w:r>
        <w:t xml:space="preserve">e rashode i izdatke iznos od 12,704 EUR. </w:t>
      </w:r>
    </w:p>
    <w:p w:rsidR="006A2490" w:rsidRDefault="008D5303">
      <w:r>
        <w:t>Za financiranje redovne djelatnosti iz vlastitih i namjenskih izvora financiranja u 2025. planirana su sredstva u iznosu od 598,245 EUR za plaće zaposlenika, 1.098.222 EUR za materijalne rashode, 245.448 EUR za ras</w:t>
      </w:r>
      <w:r>
        <w:t xml:space="preserve">hode za nabavu nefinancijske imovine te za ostale rashode i izdatke iznos od 12,704 EUR. </w:t>
      </w:r>
    </w:p>
    <w:p w:rsidR="006A2490" w:rsidRDefault="008D5303">
      <w:r>
        <w:t>Za financiranje redovne djelatnosti iz vlastitih i namjenskih izvora financiranja u 2026. planirana su sredstva u iznosu od 589,538 EUR za plaće zaposlenika, 1,250,51</w:t>
      </w:r>
      <w:r>
        <w:t>9 EUR za materijalne rashode, 200,041 EUR za rashode za nabavu nefinancijske imovine te za ostale rashode i izdatke iznos od 12,704 EUR.</w:t>
      </w:r>
    </w:p>
    <w:p w:rsidR="006A2490" w:rsidRDefault="008D5303">
      <w:pPr>
        <w:pStyle w:val="Heading4"/>
      </w:pPr>
      <w:r>
        <w:t>A679096 REDOVNA DJELATNOST SVEUČILIŠTA SJEVER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</w:t>
      </w:r>
      <w:r>
        <w:t>nu;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A679096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3.309.218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7.616.960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7.565.880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3.505.730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3.374.062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99,3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Sveučilišta Sjever:  </w:t>
      </w:r>
    </w:p>
    <w:p w:rsidR="006A2490" w:rsidRDefault="008D5303">
      <w:r>
        <w:t>1. Rashodi i izdaci za redovnu djelatnost koji se financiraju iz vlastitih prihoda sveučilišta odnosno prihoda koje sveučilište ostvaruje obavljanjem poslova na tržištu i u tržišnim uvjetima, a koje poslove mogu obavljati i drugi subjekti izvan općeg prora</w:t>
      </w:r>
      <w:r>
        <w:t xml:space="preserve">čuna primjerice od stručnih projekata, elaborata i ekspertiza, iznajmljivanje prostora i sl.  </w:t>
      </w:r>
    </w:p>
    <w:p w:rsidR="006A2490" w:rsidRDefault="008D5303">
      <w:r>
        <w:t xml:space="preserve">2. Rashodi i izdaci za redovnu djelatnost koji se financiraju iz namjenskih prihoda korisnika, a koji se najvećim dijelom ostvaruju od participacija studenata u </w:t>
      </w:r>
      <w:r>
        <w:t xml:space="preserve">troškovima studija na akreditiranim studijskim programima, ali i od donacija te pomoći iz inozemstva i unutar općeg proračuna.  </w:t>
      </w:r>
    </w:p>
    <w:p w:rsidR="006A2490" w:rsidRDefault="008D5303">
      <w:r>
        <w:t>Za financiranje redovne djelatnosti iz vlastitih i namjenskih izvora financiranja u 2024. planirana su sredstva u iznosu od 1,8</w:t>
      </w:r>
      <w:r>
        <w:t xml:space="preserve">91,245 EUR za plaće zaposlenika, 1,693,153 EUR za materijalne rashode, 3,931,942 EUR za rashode za nabavu nefinancijske imovine te za ostale rashode i izdatke iznos od 49,540 EUR. </w:t>
      </w:r>
    </w:p>
    <w:p w:rsidR="006A2490" w:rsidRDefault="008D5303">
      <w:r>
        <w:t>Za financiranje redovne djelatnosti iz vlastitih i namjenskih izvora financ</w:t>
      </w:r>
      <w:r>
        <w:t xml:space="preserve">iranja u 2025. planirana su sredstva u iznosu od 1,531,092 EUR za plaće zaposlenika, 1,463,444 EUR za materijalne rashode, 463,154  EUR za rashode za nabavu nefinancijske imovine te za ostale rashode i izdatke iznos od 48,040 EUR. </w:t>
      </w:r>
    </w:p>
    <w:p w:rsidR="006A2490" w:rsidRDefault="008D5303">
      <w:r>
        <w:t xml:space="preserve">Za financiranje redovne </w:t>
      </w:r>
      <w:r>
        <w:t>djelatnosti iz vlastitih i namjenskih izvora financiranja u 2026. planirana su sredstva u iznosu od 1,524,106 EUR za plaće zaposlenika,  1,335,762 EUR za materijalne rashode, 466,154 EUR za rashode za nabavu nefinancijske imovine te za ostale rashode i izd</w:t>
      </w:r>
      <w:r>
        <w:t>atke iznos od 48,040 EUR.</w:t>
      </w:r>
    </w:p>
    <w:p w:rsidR="006A2490" w:rsidRDefault="008D5303">
      <w:pPr>
        <w:pStyle w:val="Heading4"/>
      </w:pPr>
      <w:r>
        <w:t>A679110 POTPORA UMJETNIČKIM STUDIJIMA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visokom obrazovanju i znanstvenoj djelatnosti; Zakon o osiguravanju kvalitete u visokom obrazovanju i znanosti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</w:t>
            </w:r>
            <w:r>
              <w:rPr>
                <w:rFonts w:cs="Times New Roman"/>
              </w:rPr>
              <w:t>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A679110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1.327.228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1.725.397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1.725.397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1.725.397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1.725.397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100,0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navedene aktivnosti osiguravaju se sredstva za pokriće troškova angažiranja vanjskih suradnika na umjetničkim studijima javnih visokih učilišta u Republici Hrvatskoj.</w:t>
      </w:r>
    </w:p>
    <w:p w:rsidR="006A2490" w:rsidRDefault="008D5303">
      <w:pPr>
        <w:pStyle w:val="Heading4"/>
      </w:pPr>
      <w:r>
        <w:t>A679112 REDOVNA DJELATNOST SVEUČILIŠTA U SLAVONSKOM BRODU</w:t>
      </w:r>
    </w:p>
    <w:p w:rsidR="006A2490" w:rsidRDefault="008D5303">
      <w:pPr>
        <w:pStyle w:val="Heading8"/>
        <w:jc w:val="left"/>
      </w:pPr>
      <w:r>
        <w:t>Zakonske i druge pravn</w:t>
      </w:r>
      <w:r>
        <w:t>e osnove</w:t>
      </w:r>
    </w:p>
    <w:p w:rsidR="006A2490" w:rsidRDefault="008D5303">
      <w:r>
        <w:t>Zakon o visokom obrazovanju i znanstvenoj djelatnosti; Zakon o osiguravanju kvalitete u visokom obrazovanju i znanosti; Zakon o plaćama u javnim službama; Temeljni kolektivni ugovor za službenike i namještenike u javnim službama; Kolektivni ugovor</w:t>
      </w:r>
      <w:r>
        <w:t xml:space="preserve"> za znanost i visoko obrazovanje; Sporazum o dodatku na plaću zaposlenima u osnovnoškolskim i srednjoškolskim ustanovama, te ustanovama u znanosti i visokom obrazovanju; Uredba o nazivima i koeficijentima složenosti poslova u javnim službama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</w:t>
            </w:r>
            <w:r>
              <w:rPr>
                <w:rFonts w:cs="Times New Roman"/>
              </w:rPr>
              <w:t>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A679112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3.509.684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4.676.192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4.497.296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4.514.553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4.516.954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96,2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Redovne djelatnosti Sveučilišta u Slavonskom Brodu osiguravaju se sredstva za: rashode za zaposlene (plaće za redovan rad, doprinosi poslodavca, plaće za posebne uvjete rada), ostale rashode za zaposlene (regres, božićnica, jubilarne nagrade, otpr</w:t>
      </w:r>
      <w:r>
        <w:t xml:space="preserve">emnine, pomoći i dar za djecu povodom sv. Nikole), materijalne rashode (prijevoz zaposlenika na posao i s posla, sistematski pregledi, novčana naknada poslodavca zbog nezapošljavanja osoba s invaliditetom),  tekuće donacije, studentske programe studenata. </w:t>
      </w:r>
      <w:r>
        <w:t>U Državnom proračunu osiguravaju se sredstva za plaće i naknade za 117 zaposlenika Sveučilišta u Slavonskom Brodu.</w:t>
      </w:r>
    </w:p>
    <w:p w:rsidR="006A2490" w:rsidRDefault="008D5303">
      <w:pPr>
        <w:pStyle w:val="Heading4"/>
      </w:pPr>
      <w:r>
        <w:t>A679114 REDOVNA DJELATNOST SVEUČILIŠTA U SLAVONSKOM BRODU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 xml:space="preserve">Zakon o proračunu; Zakon </w:t>
      </w:r>
      <w:r>
        <w:t>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A679114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1.583.360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2.251.386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3.351.064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1.805.309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1.206.924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148,8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okviru aktivnosti planirani su prihodi i primitci te rashodi i izdaci proračunskih korisnika treće razine koji su izuzeti od uplate vlastitih prihoda i namjenskih prihoda i primitaka u proračun. Navedeni prihodi i primici te rashodi i izdaci u državnom p</w:t>
      </w:r>
      <w:r>
        <w:t>roračunu iskazuju se evidencijski radi cjelovitog iskazivanja financijskih planova proračunskih korisnika državnog proračuna. Ostvarenje i trošenje vlastitih i namjenskih prihoda i primitaka navedenih korisnika iskazuje se mjesečno u sustavu državne riznic</w:t>
      </w:r>
      <w:r>
        <w:t xml:space="preserve">e temeljem dostavljenih podataka.  </w:t>
      </w:r>
    </w:p>
    <w:p w:rsidR="006A2490" w:rsidRDefault="008D5303">
      <w:r>
        <w:t xml:space="preserve">Ova aktivnost sastoji se od sljedećih elemenata/podaktivnosti Sveučilišta Slavonski Brod:   </w:t>
      </w:r>
    </w:p>
    <w:p w:rsidR="006A2490" w:rsidRDefault="008D5303">
      <w:r>
        <w:t>1. Rashodi i izdaci za redovnu djelatnost koji se financiraju iz vlastitih prihoda sveučilišta odnosno prihoda koje sveučilište ostvaruje obavljanjem poslova na tržištu i u tržišnim uvjetima, a koje poslove mogu obavljati i drugi subjekti izvan općeg prora</w:t>
      </w:r>
      <w:r>
        <w:t xml:space="preserve">čuna primjerice od stručnih projekata, elaborata i ekspertiza, iznajmljivanje prostora i sl.  </w:t>
      </w:r>
    </w:p>
    <w:p w:rsidR="006A2490" w:rsidRDefault="008D5303">
      <w:r>
        <w:t xml:space="preserve">2. Rashodi i izdaci za redovnu djelatnost koji se financiraju iz namjenskih prihoda korisnika, a koji se najvećim dijelom ostvaruju od participacija studenata u </w:t>
      </w:r>
      <w:r>
        <w:t xml:space="preserve">troškovima studija na akreditiranim studijskim programima, ali i od donacija te pomoći iz inozemstva i unutar općeg proračuna.  </w:t>
      </w:r>
    </w:p>
    <w:p w:rsidR="006A2490" w:rsidRDefault="008D5303">
      <w:r>
        <w:t>Za financiranje redovne djelatnosti iz vlastitih i namjenskih izvora financiranja u 2024. planirana su sredstva u iznosu od 558</w:t>
      </w:r>
      <w:r>
        <w:t xml:space="preserve">,025 EUR  za plaće zaposlenika, 426,720 za materijalne rashode, 2,272,785 EUR za rashode za nabavu nefinancijske imovine te za ostale rashode i izdatke iznos od 93,534 EUR. </w:t>
      </w:r>
    </w:p>
    <w:p w:rsidR="006A2490" w:rsidRDefault="008D5303">
      <w:r>
        <w:t xml:space="preserve">Za financiranje redovne djelatnosti iz vlastitih i namjenskih izvora financiranja </w:t>
      </w:r>
      <w:r>
        <w:t xml:space="preserve">u 2025. planirana su sredstva u iznosu od 569,290 EUR za plaće zaposlenika, 407,930 EUR za materijalne rashode, 734,015 EUR za rashode za nabavu nefinancijske imovine te za ostale rashode i izdatke iznos od 94,074 EUR. </w:t>
      </w:r>
    </w:p>
    <w:p w:rsidR="006A2490" w:rsidRDefault="008D5303">
      <w:r>
        <w:t xml:space="preserve">Za financiranje redovne djelatnosti </w:t>
      </w:r>
      <w:r>
        <w:t>iz vlastitih i namjenskih izvora financiranja u 2026. planirana su sredstva u iznosu od 582,800 EUR za plaće zaposlenika, 415,770 EUR za materijalne rashode, 113,750 EUR za rashode za nabavu nefinancijske imovine te za ostale rashode i izdatke iznos od 94,</w:t>
      </w:r>
      <w:r>
        <w:t>604 EUR.</w:t>
      </w:r>
    </w:p>
    <w:p w:rsidR="006A2490" w:rsidRDefault="008D5303">
      <w:pPr>
        <w:pStyle w:val="Heading4"/>
      </w:pPr>
      <w:r>
        <w:t>A679115 EU PROJEKTI SVEUČILIŠTA U SLAVONSKOM BRODU  (IZ EVIDENCIJSKIH PRIHODA)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proračunu, Zakon o izvršavanju Državnog proračuna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4"/>
        <w:gridCol w:w="1562"/>
        <w:gridCol w:w="1554"/>
        <w:gridCol w:w="1554"/>
        <w:gridCol w:w="1546"/>
        <w:gridCol w:w="1546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A679115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234.773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248.517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165.935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74.495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20.913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66,8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Planiranim sredstvima financirat će se provedba 2 projekta u 2024. godini koja Sveučilište u Slavonskom Brodu ostvaruju direktno iz inozemstva ili preko posredničkih tijela odnosno drugih nositelja projekata u RH. Za provedbu projekata je planirano ukupno </w:t>
      </w:r>
      <w:r>
        <w:t xml:space="preserve">261,343 EUR, od čega će se 63% financirati u 2024. godini, 29% u 2025. te 8% u 2026. godini. </w:t>
      </w:r>
    </w:p>
    <w:p w:rsidR="006A2490" w:rsidRDefault="008D5303">
      <w:r>
        <w:t>Za provedbu projekata planirana su sredstva u iznosu od 40,800 EUR za plaće zaposlenika, 121,133 EUR za materijalne rashode te 99,410 EUR za rashode za nabavu nef</w:t>
      </w:r>
      <w:r>
        <w:t>inancijske imovine.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planiranih EU projekata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Broj EU projekata koji se planiraju realizirati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4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sredstava EU projekata u odnosu na sredstva  redovne djelatnosti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 svrhu što većeg korištenja EU izvora povećanje udjela sredstava  EU projekata u odnosu na sredstva redovne djelatnosti koja se financira iz državnog proračuna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Državni proračun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7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A679117 HPC - PROJEKT ISTRAŽIVANJA NA PODRUČJU POTRESNOG I</w:t>
      </w:r>
      <w:r>
        <w:t>NŽENJERSTVA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znanstvenoj djelatnosti i visokom obrazovanju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A679117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345.079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331.806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363.000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403.000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445.000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109,4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Hrvatski centar za potresno inženjerstvo obavlja djelatnosti: </w:t>
      </w:r>
    </w:p>
    <w:p w:rsidR="006A2490" w:rsidRDefault="008D5303">
      <w:r>
        <w:t xml:space="preserve"> </w:t>
      </w:r>
    </w:p>
    <w:p w:rsidR="006A2490" w:rsidRDefault="008D5303">
      <w:r>
        <w:t>-</w:t>
      </w:r>
      <w:r>
        <w:tab/>
        <w:t xml:space="preserve">prikupljanje i čuvanje sve građe vezane za temu potresnog inženjerstva i upravljanja rizikom od potresa koja je od posebne važnosti za RH </w:t>
      </w:r>
    </w:p>
    <w:p w:rsidR="006A2490" w:rsidRDefault="008D5303">
      <w:r>
        <w:t>-</w:t>
      </w:r>
      <w:r>
        <w:tab/>
        <w:t>djelatnost formiranja, zaštite i održavanja baze</w:t>
      </w:r>
      <w:r>
        <w:t xml:space="preserve"> podataka o konstrukcijskim svojstvima građevina </w:t>
      </w:r>
    </w:p>
    <w:p w:rsidR="006A2490" w:rsidRDefault="008D5303">
      <w:r>
        <w:t>-</w:t>
      </w:r>
      <w:r>
        <w:tab/>
        <w:t xml:space="preserve">povezivanje s dostupnim bazama na gradskoj i državnoj razini, analitika i sistematizacija podataka u bazi i sl. </w:t>
      </w:r>
    </w:p>
    <w:p w:rsidR="006A2490" w:rsidRDefault="008D5303">
      <w:r>
        <w:t>-</w:t>
      </w:r>
      <w:r>
        <w:tab/>
        <w:t xml:space="preserve">sinkronizacija i održavanje baze iz brzih pregleda oštećenja i uporabljivosti zgrada  </w:t>
      </w:r>
    </w:p>
    <w:p w:rsidR="006A2490" w:rsidRDefault="008D5303">
      <w:r>
        <w:t>-</w:t>
      </w:r>
      <w:r>
        <w:tab/>
      </w:r>
      <w:r>
        <w:t>priprema baze podataka za nalaze (definirane u Programu mjera), elaborate, seizmičke certifikate i slično s ciljem kompletiranja podataka za pojedinu građevinu (histogram)</w:t>
      </w:r>
    </w:p>
    <w:p w:rsidR="006A2490" w:rsidRDefault="008D5303">
      <w:pPr>
        <w:pStyle w:val="Heading4"/>
      </w:pPr>
      <w:r>
        <w:t>A679118 PROJEKT PRAĆENJA GEOLOŠKIH HAZARDA I RIZIKA NAKON POTRESA U PETRINJI</w:t>
      </w:r>
    </w:p>
    <w:p w:rsidR="006A2490" w:rsidRDefault="008D5303">
      <w:pPr>
        <w:pStyle w:val="Heading8"/>
        <w:jc w:val="left"/>
      </w:pPr>
      <w:r>
        <w:t>Zakonsk</w:t>
      </w:r>
      <w:r>
        <w:t>e i druge pravne osnove</w:t>
      </w:r>
    </w:p>
    <w:p w:rsidR="006A2490" w:rsidRDefault="008D5303">
      <w:r>
        <w:t>Zakon o znanstvenoj djelatnosti i visokom obrazovanja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5"/>
        <w:gridCol w:w="1565"/>
        <w:gridCol w:w="1549"/>
        <w:gridCol w:w="1549"/>
        <w:gridCol w:w="1549"/>
        <w:gridCol w:w="1549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A679118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79.853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69.816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69.816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69.816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87,4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Projekt se bavi geološkim procesima aktiviranim potresom (tzv. seizmički inducirani geohazardi) i geološkim podacima koji su potrebni za civilnu zaštitu i obnovu, preliminarnim hidrogeološkim istraživanjima razina podzemne vode. Projektnim zadatkom predviđ</w:t>
      </w:r>
      <w:r>
        <w:t>ena je izrada karata evidencije svih tipova geoloških procesa (klizišta, urušne vrtače, likvefakcije) koji su nakon potresa postali nova ograničenja za korištenje prostora, kao i izrada karata podložnosti na geohazarde. U projektu se također daje korištenj</w:t>
      </w:r>
      <w:r>
        <w:t>e inženjerskogeoloških karata za definiranje posebnih uvjeta i ograničenja za gradnju u odnosu na geohazarde. Projekt provodi Građevinski fakultet Sveučilišta u Rijeci i Rudarsko-geološko-naftni fakultet u Zagrebu.</w:t>
      </w:r>
    </w:p>
    <w:p w:rsidR="006A2490" w:rsidRDefault="008D5303">
      <w:pPr>
        <w:pStyle w:val="Heading4"/>
      </w:pPr>
      <w:r>
        <w:t>K621061 ODRŽAVANJE OBJEKATA VISOKOOBRAZOVNIH USTANOVA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znanstvenoj djelatnosti i visokom obrazovanju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K621061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2.510.263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7.81</w:t>
            </w:r>
            <w:r>
              <w:t>5.063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7.500.000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7.500.000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7.500.000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96,0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U državnom proračunu osiguravaju se sredstva za dodatna ulaganja, održavanje objekata te opremanje  građevina fakulteta, sveučilišta i veleučilišta. Ista se odobravaju temeljem pristiglih zahtjeva sa pripadajućom dokumentacijom. </w:t>
      </w:r>
    </w:p>
    <w:p w:rsidR="006A2490" w:rsidRDefault="008D5303">
      <w:r>
        <w:t xml:space="preserve">O pojedinačnim projektima </w:t>
      </w:r>
      <w:r>
        <w:t>koji se financiraju iz ovih sredstava donose se posebne Odluke.</w:t>
      </w:r>
    </w:p>
    <w:p w:rsidR="006A2490" w:rsidRDefault="008D5303">
      <w:pPr>
        <w:pStyle w:val="Heading4"/>
      </w:pPr>
      <w:r>
        <w:t>K679084 OP KONKURENTNOST I KOHEZIJA 2014.-2020., PRIORITET 1, 9 i 10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uspostavi institucionalnog okvira za provedbu europskih strukturnih i investicijskih</w:t>
      </w:r>
      <w:r>
        <w:t xml:space="preserve"> fondova u RH u razdoblju 2014.-2020.; Uredba o tijelima u sustavima upravljanja i kontrole korištenja Europskog socijalnog fonda, Europskog fonda za regionalni razvoj i kohezijskog fonda, u vezi s ciljem "Ulaganje za rast i radna mjesta"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9"/>
        <w:gridCol w:w="1573"/>
        <w:gridCol w:w="1573"/>
        <w:gridCol w:w="1563"/>
        <w:gridCol w:w="1529"/>
        <w:gridCol w:w="1529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K679084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33.775.609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29.635.709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8.304.767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28,0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U financijskom razdoblju od 2024. do 2026. godine s ove aktivnosti unutar Prioritetne osi 1 Operativnog programa Konkurentnost i kohezija MZO u svojstvu Posredničkog tijela razine 1 financira sljedeće projekte:     </w:t>
      </w:r>
    </w:p>
    <w:p w:rsidR="006A2490" w:rsidRDefault="008D5303">
      <w:r>
        <w:t xml:space="preserve">KK.01.1.1.01 Vrhunska istraživanja Znanstvenih centara izvrsnosti, 2024. – 4.121.168 €  (ukupno ugovoreno: 49.564.140,00 €).    </w:t>
      </w:r>
    </w:p>
    <w:p w:rsidR="006A2490" w:rsidRDefault="008D5303">
      <w:r>
        <w:t xml:space="preserve">KK.01.1.1.02 Ulaganje u organizacijsku reformu i infrastrukturu sektora istraživanja, razvoja i inovacija, 2024. – 1.000.000 € </w:t>
      </w:r>
      <w:r>
        <w:t xml:space="preserve"> (ukupno ugovoreno: 127.359.473,00 € (nadugovaranje)).    </w:t>
      </w:r>
    </w:p>
    <w:p w:rsidR="006A2490" w:rsidRDefault="008D5303">
      <w:r>
        <w:t xml:space="preserve">KK.01.1.1.04 Ulaganje u znanost i inovacije (SIIF), 2024. – 239.277 €  (ukupno ugovoreno: 26.033.307,00 €)    </w:t>
      </w:r>
    </w:p>
    <w:p w:rsidR="006A2490" w:rsidRDefault="008D5303">
      <w:r>
        <w:t>KK.01.1.1.07 Jačanje kapaciteta za istraživanje, razvoj i inovacije (STRIP), 2024. – 1</w:t>
      </w:r>
      <w:r>
        <w:t xml:space="preserve">.248.974 €  (alokacija Poziva, EFRR dio: 24.008.864,00 €)     </w:t>
      </w:r>
    </w:p>
    <w:p w:rsidR="006A2490" w:rsidRDefault="008D5303">
      <w:r>
        <w:t>KK.01.1.1.09. Priprema IRI infrastrukturnih projekata, 2024. – 1.695.348 €, alokacija objavljenog Poziva: 6.052.160,00 €)</w:t>
      </w:r>
    </w:p>
    <w:p w:rsidR="006A2490" w:rsidRDefault="008D5303">
      <w:pPr>
        <w:pStyle w:val="Heading4"/>
      </w:pPr>
      <w:r>
        <w:t xml:space="preserve">K679116 OBNOVA INFRASTRUKTURE I OPREME U PODRUČJU OBRAZOVANJA OŠTEĆENE </w:t>
      </w:r>
      <w:r>
        <w:t>POTRESOM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Odluka Vlade Republike Hrvatske o načinu raspodjele bespovratnih financijskih sredstava iz Fonda solidarnosti Europske unije odobrenih za financiranje sanacije šteta od potresa na području Grada Zagreba, Krapinsko-za</w:t>
      </w:r>
      <w:r>
        <w:t>gorske županije i Zagrebačke županije, te o imenovanju i određivanju zaduženja nacionalnog koordinacijskog tijela, tijela odgovornih za provedbu financijskog doprinosa i neovisnog revizorskog tijela.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6"/>
        <w:gridCol w:w="1559"/>
        <w:gridCol w:w="1558"/>
        <w:gridCol w:w="1547"/>
        <w:gridCol w:w="1558"/>
        <w:gridCol w:w="1558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</w:t>
            </w:r>
            <w:r>
              <w:rPr>
                <w:rFonts w:cs="Times New Roman"/>
              </w:rPr>
              <w:t>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K679116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18.847.671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53.945.223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6.247.432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67.655.667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14.582.622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11,6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Svrha aktivnosti je nadoknada sredstava projektima u području znanosti i obrazovanja za provedene hitne mjere zaštite, usluga utvrđivanja stanja, izrade snimki zatečenog stanja, izrada dokumentacije za provedbu i sama provedba dovođenja zgrada u prijašnje </w:t>
      </w:r>
      <w:r>
        <w:t>stanje ili cjelovite obnove koja podrazumijeva dodatno poboljšanje konstrukcija uz prilagodbu suvremenim standardima zgrada oštećenih u potresu 22. ožujka 2020. godine na području Grada Zagreba, Krapinsko-zagorske županije i Zagrebačke županije te izvođenj</w:t>
      </w:r>
      <w:r>
        <w:t xml:space="preserve">e radova osiguranja i stabiliziranja oštećenih dobara. </w:t>
      </w:r>
    </w:p>
    <w:p w:rsidR="006A2490" w:rsidRDefault="008D5303">
      <w:r>
        <w:t>Sa izvora 11 u sklopu ove aktivnosti financirat će se troškovi konstrukcijske obnove koji nisu dospjeli do 30.6.2023.</w:t>
      </w:r>
    </w:p>
    <w:p w:rsidR="006A2490" w:rsidRDefault="008D5303">
      <w:pPr>
        <w:pStyle w:val="Heading4"/>
      </w:pPr>
      <w:r>
        <w:t>K679119 OBNOVA ZGRADA OŠTEĆENIH U POTRESU S ENERGETSKOM OBNOVOM - NPOO (C6.1.R1-I2</w:t>
      </w:r>
      <w:r>
        <w:t>)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Provedbena odluka vijeća o odobrenju ocjene plana za oporavak i otpornost Hrvatske (10687/21), Odluka Vlade Republike Hrvatske o načinu raspodjele bespovratnih financijskih sredstava iz Fonda solidarnosti Europske unije odobrenih za financiranje sanacije š</w:t>
      </w:r>
      <w:r>
        <w:t xml:space="preserve">teta od potresa na području Grada Zagreba, Krapinsko-zagorske županije i Zagrebačke županije, te o imenovanju i određivanju zaduženja nacionalnog koordinacijskog tijela, tijela odgovornih za provedbu financijskog doprinosa i neovisnog revizorskog tijela  </w:t>
      </w:r>
    </w:p>
    <w:p w:rsidR="006A2490" w:rsidRDefault="008D5303">
      <w:r>
        <w:t>Odluka o načinu raspodjele bespovratnih financijskih sredstava iz Fonda solidarnosti Europske unije za financiranje sanacije šteta od potresa na području Grada Zagreba, Krapinsko-zagorske županije, Zagrebačke županije, Sisačko-moslavačke županije, Karlovač</w:t>
      </w:r>
      <w:r>
        <w:t>ke županije, Varaždinske županije, Međimurske županije, Brodsko-posavske županije i Bjelovarsko-bilogorske županije, imenovanju i određivanju zaduženja nacionalnog koordinacijskog tijela, tijela odgovornih za provedbu financijskog doprinosa i neovisnog rev</w:t>
      </w:r>
      <w:r>
        <w:t>izorskog tijela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6"/>
        <w:gridCol w:w="1540"/>
        <w:gridCol w:w="1560"/>
        <w:gridCol w:w="1560"/>
        <w:gridCol w:w="1560"/>
        <w:gridCol w:w="1560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K679119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121.695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45.366.521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61.053.319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54.217.648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10.105.905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134,6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 xml:space="preserve">Svrha aktivnosti je nadoknada sredstava projektima u području znanosti i obrazovanja za provedene hitne mjere zaštite, usluga utvrđivanja stanja, izrade snimki zatečenog stanja, izrada dokumentacije za provedbu i sama provedba dovođenja zgrada u prijašnje </w:t>
      </w:r>
      <w:r>
        <w:t>stanje ili cjelovite obnove koja podrazumijeva dodatno poboljšanje konstrukcija uz prilagodbu suvremenim standardima zgrada oštećenih u potresu 22. ožujka 2020. godine (na području Grada Zagreba, Krapinsko-zagorske županije i Zagrebačke županije) te u seri</w:t>
      </w:r>
      <w:r>
        <w:t>ji potresa od 28. prosinca 2020. godine (na području Grada Zagreba, Krapinsko-zagorske županije, Zagrebačke županije, Sisačko-moslavačke županije, Karlovačke županije, Varaždinske županije, Međimurske županije, Brodsko-posavske županije i Bjelovarsko-bilog</w:t>
      </w:r>
      <w:r>
        <w:t xml:space="preserve">orske županije) te izvođenje radova osiguranja i stabiliziranja oštećenih dobara.    </w:t>
      </w:r>
    </w:p>
    <w:p w:rsidR="006A2490" w:rsidRDefault="008D5303">
      <w:r>
        <w:t xml:space="preserve">Sredstva će se koristiti iz komponente 6. „Obnova zgrada“, C6.1. R1-I2 „Obnova zgrada oštećenih u potresu s energetskom obnovom “ Nacionalnog plana oporavka i otpornosti </w:t>
      </w:r>
      <w:r>
        <w:t xml:space="preserve">2021. – 2026.   </w:t>
      </w:r>
    </w:p>
    <w:p w:rsidR="006A2490" w:rsidRDefault="008D5303">
      <w:r>
        <w:t>Planirana sredstva potrebna za provedbu projekata  su izračunata na temelju dinamike provedbe projekata i planova budućih potraživanja od Korisnika (ZNS).</w:t>
      </w:r>
    </w:p>
    <w:p w:rsidR="006A2490" w:rsidRDefault="008D5303">
      <w:pPr>
        <w:pStyle w:val="Heading4"/>
      </w:pPr>
      <w:r>
        <w:t>K679122 RAZVOJ MREŽE SEIZMOLOŠKIH PODATAKA - NPOO (C6.1.R4-I1)</w:t>
      </w:r>
    </w:p>
    <w:p w:rsidR="006A2490" w:rsidRDefault="008D5303">
      <w:pPr>
        <w:pStyle w:val="Heading8"/>
        <w:jc w:val="left"/>
      </w:pPr>
      <w:r>
        <w:t>Zakonske i druge prav</w:t>
      </w:r>
      <w:r>
        <w:t>ne osnove</w:t>
      </w:r>
    </w:p>
    <w:p w:rsidR="006A2490" w:rsidRDefault="008D5303">
      <w:r>
        <w:t xml:space="preserve">Provedbena odluka vijeća o odobrenju ocjene plana za oporavak i otpornost Hrvatske (10687/21)  </w:t>
      </w:r>
    </w:p>
    <w:p w:rsidR="006A2490" w:rsidRDefault="008D5303">
      <w:r>
        <w:t>Nacionalni plan oporavka i otpornosti 2021. – 2026.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7"/>
        <w:gridCol w:w="1552"/>
        <w:gridCol w:w="1558"/>
        <w:gridCol w:w="1558"/>
        <w:gridCol w:w="1558"/>
        <w:gridCol w:w="1543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K679122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7.866.070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5.076.376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1.849.934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523.141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64,5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U razdoblju od 2023.-2025. godine s ove aktivnosti financirati će se projekt Hrvatske seizmološke službe pri Geofizičkom odsjeku  Prirodoslovno-matematičkog fakulteta u Zagrebu za operaciju "RAZVOJ MR</w:t>
      </w:r>
      <w:r>
        <w:t>EŽE SEIZMOLOŠKIH PODATAKA". Vrijednost operacije je 100.650.073,79 kn. U sklopu projekta financirati će se nabava opreme (seizmografa, akcelografa, prijenosnih računala...), vanjske usluge, promidžba i vidljivost, organizacijska reforma...Trajanje operacij</w:t>
      </w:r>
      <w:r>
        <w:t>e: 60 mjeseci (06/2026 završetak).</w:t>
      </w:r>
    </w:p>
    <w:p w:rsidR="006A2490" w:rsidRDefault="008D5303">
      <w:pPr>
        <w:pStyle w:val="Heading4"/>
      </w:pPr>
      <w:r>
        <w:t>K679124 PROGRAM UČINKOVITI LJUDSKI POTENCIJALI 2021.-2027., PRIORITET 2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Uredba (EU) 2021/1060 Europskog parlamenta i Vijeća od 24. lipnja 2021. o utvrđivanju zajedničkih odredaba o Europskom fondu za regionalni razvoj, Europskom socijalnom fondu plus, Kohezijskom fondu, Fondu za pravednu tranziciju i Europskom fondu za pomorst</w:t>
      </w:r>
      <w:r>
        <w:t>vo, ribarstvo i akvakulturu te financijskih pravila za njih i za Fond za azil, migracije i integraciju, Fond za unutarnju sigurnost i Instrument za financijsku potporu u području upravljanja granicama i vizne politike i Uredba (EU) 2021/1057 Europskog Parl</w:t>
      </w:r>
      <w:r>
        <w:t>amenta i Vijeća od 24. lipnja 2021. o uspostavi Europskog socijalnog fonda plus (ESF+) i stavljanju izvan snage Uredbe (EU) br. 1296/2013. Zakon o institucionalnom okviru za korištenje fondova Europske unije u Republici Hrvatskoj, Uredba o tijelima u Susta</w:t>
      </w:r>
      <w:r>
        <w:t>vu upravljanja i kontrole korištenja Europskog socijalnog fonda plus u vezi s ciljem »Ulaganje za radna mjesta i rast«, u okviru Programa Učinkoviti ljudski potencijali 2021. – 2027.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8"/>
        <w:gridCol w:w="1554"/>
        <w:gridCol w:w="1526"/>
        <w:gridCol w:w="1546"/>
        <w:gridCol w:w="1571"/>
        <w:gridCol w:w="1571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</w:t>
            </w:r>
            <w:r>
              <w:rPr>
                <w:rFonts w:cs="Times New Roman"/>
              </w:rPr>
              <w:t>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K679124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250.001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13.400.000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18.200.000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0,0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Ministarstvo znanosti i obrazovanja, Služba za programe i projekte EU, kao Posredničko tijelo razine 1, akreditirano je tijelo u Sustavu upravljanja i kontrole korištenja Europskpog socijalnog fonda. Zadaće Ministarstva kao PT1 su: surađuje s drugim tijeli</w:t>
      </w:r>
      <w:r>
        <w:t>ma u sustavu u izradi, provedbi, praćenju i vrednovanju Programa Učinkoviti ljudski potencijali 2021. – 2027., nadležno za provođenja projekata u okviru prioriteta nadležnog za obrazovanje i cjeloživotno učenje, osigurava sredstva u državnom proračunu za p</w:t>
      </w:r>
      <w:r>
        <w:t>rojekte u kojima su korisnici Ministarsvo, ustanove iz sustava odgoja i obrazovanja, strukovnog obrazovanja, obrazovanja odraslih, visokog obrazovanja i znanosti, vrši isplatu sredstava prema korisnicima temeljem odoborenih zahtjeva za nadoknadom sredstava</w:t>
      </w:r>
      <w:r>
        <w:t>, izrađuje kriterije odabira projekata, izrađuje i objavljuje pozive na dostavu prijedloga, prati provedbu projekata, vrši proces evaluacije projekata u suradnji s drugim tijelima u Sustavu, provodi aktivnosti prevencije, otkrivanja i ispravljanja nepravil</w:t>
      </w:r>
      <w:r>
        <w:t>nosti, osiguravačuvanje dokumentacije i evidencija o provedbi funkcija radi osiguravanja revizijskog traga itd. Na navedenoj aktivnosti planiraju se pozivi iz područja visokog obrazovanja čiji su korisnici javna visoka učilišta, korisnici državnog proračun</w:t>
      </w:r>
      <w:r>
        <w:t xml:space="preserve">a.  </w:t>
      </w:r>
    </w:p>
    <w:p w:rsidR="006A2490" w:rsidRDefault="008D5303">
      <w:r>
        <w:t>Pozivi koji su planirani za objavu u okviru ove aktivnosti su: Unaprjeđenje kvalitete i relevantnosti visokog obrazovanja, Unapređenje zapošljivosti uz visoko obrazovanje, Podrška visokim učilištima za sudjelovanje u alijansama Europskih sveučilišta u</w:t>
      </w:r>
      <w:r>
        <w:t xml:space="preserve"> iznosu od 250.000 EUR za 2024. godinu, 13.400.000 EUR za 2025. godinu i 18.200.000 EUR za 2026. godinu..</w:t>
      </w:r>
    </w:p>
    <w:p w:rsidR="006A2490" w:rsidRDefault="008D530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6A2490">
        <w:trPr>
          <w:jc w:val="center"/>
        </w:trPr>
        <w:tc>
          <w:tcPr>
            <w:tcW w:w="2245" w:type="dxa"/>
            <w:shd w:val="clear" w:color="auto" w:fill="B5C0D8"/>
          </w:tcPr>
          <w:p w:rsidR="006A2490" w:rsidRDefault="008D5303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6A2490">
        <w:trPr>
          <w:jc w:val="center"/>
        </w:trPr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Udio objavljenih poziva u skladu s Indikativnim planom objave poziva</w:t>
            </w:r>
          </w:p>
        </w:tc>
        <w:tc>
          <w:tcPr>
            <w:tcW w:w="2245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Tijela u ulozi PT-a 1 dodjeljuju EU sredstva putem poziva, a njihova planirana objava navodi se u Indikativnom planu objave poziva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Postotak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6A2490" w:rsidRDefault="008D5303">
            <w:pPr>
              <w:pStyle w:val="CellColumn"/>
              <w:jc w:val="center"/>
            </w:pPr>
            <w:r>
              <w:rPr>
                <w:rFonts w:cs="Times New Roman"/>
              </w:rPr>
              <w:t>MZO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6A2490" w:rsidRDefault="008D5303">
            <w:pPr>
              <w:jc w:val="center"/>
            </w:pPr>
            <w:r>
              <w:t>100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K679126 PROGRAM KONKURENTNOST I KOHEZIJA 2021.-2027., PRIORITET 1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 xml:space="preserve">Zakon o institucionalnom okviru za korištenje fondova Europske unije u Republici Hrvatskoj (NN 116/2021) </w:t>
      </w:r>
    </w:p>
    <w:p w:rsidR="006A2490" w:rsidRDefault="008D5303">
      <w:r>
        <w:t>Uredba o tijelima u sustavu upravljanja i kontrole za</w:t>
      </w:r>
      <w:r>
        <w:t xml:space="preserve"> provedbu programa iz područja konkurentnosti i kohezije za financijsko razdoblje 2021. – 2027. (NN 96/2022)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5"/>
        <w:gridCol w:w="1550"/>
        <w:gridCol w:w="1520"/>
        <w:gridCol w:w="1567"/>
        <w:gridCol w:w="1567"/>
        <w:gridCol w:w="156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K679126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15.791.859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18.048.040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13.630.580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0,0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S ove aktvnosti će se financirati početne prgramske aktivnosti za provedbu Operativnog programa Konkurentnost i kohezija 2021. – 2027. za cilj politike Pametnija Europa, a koje se odnose na specifične ciljeve: poboljšanje istraživačkih i inovacijskih spos</w:t>
      </w:r>
      <w:r>
        <w:t>obnosti te povećanu primjenu naprednih tehnologija i razvoj vještina za pametnu specijalizaciju, industrijsku tranziciju i poduzetništvo. Aktivnosti se odnose na: istraživanja vrhunskih istraživačkih grupa koja pomiču granice istraživanja i znanja, povećan</w:t>
      </w:r>
      <w:r>
        <w:t>je međunarodne privlačnosti, priznatosti i vidljivosti hrvatskog istraživačkog prostora, poticanje tržišno orijentiranih istraživačko-razvojnih aktivnosti znanstvenih organizacija te prijenosa tehnologije i znanja s ciljem povećanja razvoja novih proizvoda</w:t>
      </w:r>
      <w:r>
        <w:t xml:space="preserve"> i procesa, podrške projektima u ranoj fazi razvoja, jačanje uloge ureda za transfer tehnologije, podrške MSP-ovima u znanjem intenzivnim sektorima, ulaganje u stratešku istraživačku, tehnološku i inovacijsku  infrastrukturu u skladu s S3 područjima  i zel</w:t>
      </w:r>
      <w:r>
        <w:t>enom i digitalnom tranzicijom s ciljem poboljšanja organizacijske učinkovitosti IRI infrastrukture.</w:t>
      </w:r>
    </w:p>
    <w:p w:rsidR="006A2490" w:rsidRDefault="008D5303">
      <w:pPr>
        <w:pStyle w:val="Heading3"/>
      </w:pPr>
      <w:r>
        <w:rPr>
          <w:rFonts w:cs="Times New Roman"/>
        </w:rPr>
        <w:t>3801 ULAGANJE U ZNANSTVENO ISTRAŽIVAČKU DJELATNOST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6A2490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3801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175.645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191.465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232.963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232.963</w:t>
            </w:r>
          </w:p>
        </w:tc>
        <w:tc>
          <w:tcPr>
            <w:tcW w:w="1632" w:type="dxa"/>
          </w:tcPr>
          <w:p w:rsidR="006A2490" w:rsidRDefault="008D5303">
            <w:pPr>
              <w:jc w:val="right"/>
            </w:pPr>
            <w:r>
              <w:t>232.963</w:t>
            </w:r>
          </w:p>
        </w:tc>
        <w:tc>
          <w:tcPr>
            <w:tcW w:w="510" w:type="dxa"/>
          </w:tcPr>
          <w:p w:rsidR="006A2490" w:rsidRDefault="008D5303">
            <w:pPr>
              <w:jc w:val="right"/>
            </w:pPr>
            <w:r>
              <w:t>121,7</w:t>
            </w:r>
          </w:p>
        </w:tc>
      </w:tr>
    </w:tbl>
    <w:p w:rsidR="006A2490" w:rsidRDefault="006A2490">
      <w:pPr>
        <w:jc w:val="left"/>
      </w:pPr>
    </w:p>
    <w:p w:rsidR="006A2490" w:rsidRDefault="008D5303">
      <w:pPr>
        <w:pStyle w:val="Heading4"/>
      </w:pPr>
      <w:r>
        <w:t>A622012 REDOVNA DJELATNOST SEIZMOLOŠKE SLUŽBE</w:t>
      </w:r>
    </w:p>
    <w:p w:rsidR="006A2490" w:rsidRDefault="008D5303">
      <w:pPr>
        <w:pStyle w:val="Heading8"/>
        <w:jc w:val="left"/>
      </w:pPr>
      <w:r>
        <w:t>Zakonske i druge pravne osnove</w:t>
      </w:r>
    </w:p>
    <w:p w:rsidR="006A2490" w:rsidRDefault="008D5303">
      <w:r>
        <w:t>Zakon o znanstvenoj djelatnosti i visokom obrazovanju, Zakon o seizmološkim poslovima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6A2490">
        <w:trPr>
          <w:jc w:val="center"/>
        </w:trPr>
        <w:tc>
          <w:tcPr>
            <w:tcW w:w="153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6A2490" w:rsidRDefault="008D5303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6A2490">
        <w:trPr>
          <w:jc w:val="center"/>
        </w:trPr>
        <w:tc>
          <w:tcPr>
            <w:tcW w:w="1530" w:type="dxa"/>
            <w:vAlign w:val="top"/>
          </w:tcPr>
          <w:p w:rsidR="006A2490" w:rsidRDefault="008D5303">
            <w:pPr>
              <w:pStyle w:val="CellColumn"/>
              <w:jc w:val="left"/>
            </w:pPr>
            <w:r>
              <w:rPr>
                <w:rFonts w:cs="Times New Roman"/>
              </w:rPr>
              <w:t>A622012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175.645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191.465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232.963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232.963</w:t>
            </w:r>
          </w:p>
        </w:tc>
        <w:tc>
          <w:tcPr>
            <w:tcW w:w="1632" w:type="dxa"/>
            <w:vAlign w:val="top"/>
          </w:tcPr>
          <w:p w:rsidR="006A2490" w:rsidRDefault="008D5303">
            <w:pPr>
              <w:jc w:val="right"/>
            </w:pPr>
            <w:r>
              <w:t>232.963</w:t>
            </w:r>
          </w:p>
        </w:tc>
        <w:tc>
          <w:tcPr>
            <w:tcW w:w="510" w:type="dxa"/>
            <w:vAlign w:val="top"/>
          </w:tcPr>
          <w:p w:rsidR="006A2490" w:rsidRDefault="008D5303">
            <w:pPr>
              <w:jc w:val="right"/>
            </w:pPr>
            <w:r>
              <w:t>121,7</w:t>
            </w:r>
          </w:p>
        </w:tc>
      </w:tr>
    </w:tbl>
    <w:p w:rsidR="006A2490" w:rsidRDefault="006A2490">
      <w:pPr>
        <w:jc w:val="left"/>
      </w:pPr>
    </w:p>
    <w:p w:rsidR="006A2490" w:rsidRDefault="008D5303">
      <w:r>
        <w:t>S ove se aktivnosti sufinanciraju troškovi redovne djelatnosti Seizmološke službe RH pri Prirodoslovno-matematičkom fakultetu Sveučilišta u Zagrebu, što podrazumijeva financiranje materijalnih troškova redovitog poslovanja (troškovi energije, nabavka i pop</w:t>
      </w:r>
      <w:r>
        <w:t>ravci opreme i uređaja, službena putovanja vezano uz održavanje izdvojenih pogona i ostalo) pogona 20 stalnih seizmografskih i 8 akcelerografskih postaja pomoću kojih se prikupljaju, obrađuju i analiziraju makroseizmički podatci.  Sredstva se planiraju suk</w:t>
      </w:r>
      <w:r>
        <w:t>ladno gore navedenim potrebama Seizmološke službe Republike Hrvatske.</w:t>
      </w:r>
    </w:p>
    <w:sectPr w:rsidR="006A2490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3" w:rsidRDefault="008D5303" w:rsidP="00F352E6">
      <w:r>
        <w:separator/>
      </w:r>
    </w:p>
  </w:endnote>
  <w:endnote w:type="continuationSeparator" w:id="0">
    <w:p w:rsidR="008D5303" w:rsidRDefault="008D5303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8D5303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3" w:rsidRDefault="008D5303" w:rsidP="00F352E6">
      <w:r>
        <w:separator/>
      </w:r>
    </w:p>
  </w:footnote>
  <w:footnote w:type="continuationSeparator" w:id="0">
    <w:p w:rsidR="008D5303" w:rsidRDefault="008D5303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8D5303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3E4A94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A2490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8D5303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C3B8-668F-4AAF-93AA-81A33CF5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11316</Words>
  <Characters>64506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Maja Budić</cp:lastModifiedBy>
  <cp:revision>2</cp:revision>
  <dcterms:created xsi:type="dcterms:W3CDTF">2024-02-27T14:10:00Z</dcterms:created>
  <dcterms:modified xsi:type="dcterms:W3CDTF">2024-02-27T14:10:00Z</dcterms:modified>
</cp:coreProperties>
</file>