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26D0" w14:textId="77777777" w:rsidR="00C82011" w:rsidRDefault="00B94033" w:rsidP="00C82011">
      <w:pPr>
        <w:spacing w:after="120" w:line="240" w:lineRule="auto"/>
        <w:jc w:val="center"/>
        <w:rPr>
          <w:rFonts w:ascii="Times New Roman" w:hAnsi="Times New Roman"/>
          <w:b/>
          <w:sz w:val="32"/>
        </w:rPr>
      </w:pPr>
      <w:r w:rsidRPr="00B94033">
        <w:rPr>
          <w:rFonts w:ascii="Times New Roman" w:hAnsi="Times New Roman"/>
          <w:b/>
          <w:sz w:val="32"/>
        </w:rPr>
        <w:t>POZIV NA DODJELU BESPOVRATNIH SREDSTAVA</w:t>
      </w:r>
      <w:r w:rsidRPr="00B94033" w:rsidDel="006033F3">
        <w:rPr>
          <w:rFonts w:ascii="Times New Roman" w:hAnsi="Times New Roman"/>
          <w:b/>
          <w:sz w:val="32"/>
        </w:rPr>
        <w:t xml:space="preserve"> </w:t>
      </w:r>
    </w:p>
    <w:p w14:paraId="0733A405" w14:textId="5CF95880" w:rsidR="00B94033" w:rsidRPr="00B94033" w:rsidRDefault="00C82011" w:rsidP="00B94033">
      <w:pPr>
        <w:jc w:val="center"/>
        <w:rPr>
          <w:rFonts w:ascii="Times New Roman" w:hAnsi="Times New Roman"/>
          <w:b/>
          <w:sz w:val="32"/>
        </w:rPr>
      </w:pPr>
      <w:r w:rsidRPr="00C82011">
        <w:rPr>
          <w:rFonts w:ascii="Times New Roman" w:eastAsiaTheme="minorEastAsia" w:hAnsi="Times New Roman"/>
          <w:b/>
          <w:bCs/>
          <w:color w:val="171796"/>
          <w:sz w:val="32"/>
          <w:szCs w:val="40"/>
        </w:rPr>
        <w:t>RAZVOJ KARIJERA MLADIH ISTRAŽIVAČA – IZOBRAZBA NOVIH DOKTORA ZNANOSTI</w:t>
      </w:r>
    </w:p>
    <w:p w14:paraId="63281288" w14:textId="2F846011" w:rsidR="00B94033" w:rsidRPr="00B94033" w:rsidRDefault="00B94033" w:rsidP="00B94033">
      <w:pPr>
        <w:spacing w:after="0"/>
        <w:jc w:val="center"/>
        <w:rPr>
          <w:rFonts w:ascii="Times New Roman" w:hAnsi="Times New Roman"/>
          <w:b/>
          <w:color w:val="0070C0"/>
          <w:sz w:val="24"/>
          <w:szCs w:val="24"/>
        </w:rPr>
      </w:pPr>
      <w:r w:rsidRPr="00B94033">
        <w:rPr>
          <w:rFonts w:ascii="Times New Roman" w:hAnsi="Times New Roman"/>
          <w:b/>
          <w:sz w:val="24"/>
          <w:szCs w:val="24"/>
        </w:rPr>
        <w:t>(</w:t>
      </w:r>
      <w:r w:rsidRPr="00B94033">
        <w:rPr>
          <w:rFonts w:ascii="Times New Roman" w:hAnsi="Times New Roman"/>
          <w:b/>
          <w:i/>
          <w:sz w:val="24"/>
          <w:szCs w:val="24"/>
        </w:rPr>
        <w:t xml:space="preserve">referentni broj: </w:t>
      </w:r>
      <w:r w:rsidR="00D92AA8">
        <w:rPr>
          <w:rFonts w:ascii="Times New Roman" w:hAnsi="Times New Roman"/>
          <w:b/>
          <w:i/>
          <w:sz w:val="24"/>
          <w:szCs w:val="24"/>
        </w:rPr>
        <w:t>NPOO.C3.2.R2-I1.03</w:t>
      </w:r>
      <w:r w:rsidRPr="00B94033">
        <w:rPr>
          <w:rFonts w:ascii="Times New Roman" w:hAnsi="Times New Roman"/>
          <w:b/>
          <w:i/>
          <w:sz w:val="24"/>
          <w:szCs w:val="24"/>
        </w:rPr>
        <w:t>)</w:t>
      </w:r>
    </w:p>
    <w:p w14:paraId="3BA4ABA7" w14:textId="6503E1A1" w:rsidR="00080C31" w:rsidRDefault="00080C31" w:rsidP="00B94033">
      <w:pPr>
        <w:jc w:val="center"/>
        <w:rPr>
          <w:rFonts w:ascii="Times New Roman" w:hAnsi="Times New Roman"/>
          <w:b/>
          <w:sz w:val="24"/>
        </w:rPr>
      </w:pPr>
    </w:p>
    <w:p w14:paraId="60F3D2E6" w14:textId="77777777" w:rsidR="00080C31" w:rsidRPr="00B94033" w:rsidRDefault="00080C31" w:rsidP="00B94033">
      <w:pPr>
        <w:jc w:val="center"/>
        <w:rPr>
          <w:rFonts w:ascii="Times New Roman" w:hAnsi="Times New Roman"/>
          <w:b/>
          <w:sz w:val="24"/>
        </w:rPr>
      </w:pPr>
    </w:p>
    <w:p w14:paraId="42DBB15C" w14:textId="77777777" w:rsidR="00B94033" w:rsidRPr="00B94033" w:rsidRDefault="00B94033" w:rsidP="00B94033">
      <w:pPr>
        <w:tabs>
          <w:tab w:val="left" w:pos="1257"/>
        </w:tabs>
        <w:jc w:val="center"/>
        <w:rPr>
          <w:rFonts w:ascii="Times New Roman" w:eastAsiaTheme="minorEastAsia" w:hAnsi="Times New Roman"/>
          <w:b/>
          <w:bCs/>
          <w:color w:val="171796"/>
          <w:sz w:val="32"/>
          <w:szCs w:val="40"/>
        </w:rPr>
      </w:pPr>
      <w:r w:rsidRPr="00B94033">
        <w:rPr>
          <w:rFonts w:ascii="Times New Roman" w:eastAsiaTheme="minorEastAsia" w:hAnsi="Times New Roman"/>
          <w:b/>
          <w:bCs/>
          <w:color w:val="171796"/>
          <w:sz w:val="32"/>
          <w:szCs w:val="40"/>
        </w:rPr>
        <w:t xml:space="preserve">PRILOG 4. </w:t>
      </w:r>
      <w:bookmarkStart w:id="0" w:name="_GoBack"/>
      <w:bookmarkEnd w:id="0"/>
    </w:p>
    <w:p w14:paraId="280FA148" w14:textId="77777777" w:rsidR="00B94033" w:rsidRPr="00B94033" w:rsidRDefault="00B94033" w:rsidP="00B94033">
      <w:pPr>
        <w:spacing w:after="0"/>
        <w:jc w:val="center"/>
        <w:rPr>
          <w:rFonts w:ascii="Times New Roman" w:hAnsi="Times New Roman"/>
          <w:b/>
          <w:sz w:val="24"/>
          <w:szCs w:val="24"/>
        </w:rPr>
      </w:pPr>
    </w:p>
    <w:p w14:paraId="25ED7094" w14:textId="77777777" w:rsidR="00C45EE6" w:rsidRPr="00C45EE6" w:rsidRDefault="00C45EE6" w:rsidP="00C45EE6">
      <w:pPr>
        <w:spacing w:after="0" w:line="240" w:lineRule="auto"/>
        <w:contextualSpacing/>
        <w:rPr>
          <w:rFonts w:ascii="Times New Roman" w:hAnsi="Times New Roman"/>
          <w:b/>
          <w:bCs/>
          <w:sz w:val="24"/>
          <w:szCs w:val="24"/>
          <w:lang w:eastAsia="hr-HR"/>
        </w:rPr>
      </w:pPr>
    </w:p>
    <w:p w14:paraId="2104B536" w14:textId="77777777" w:rsidR="00C45EE6" w:rsidRPr="00C45EE6" w:rsidRDefault="00C45EE6" w:rsidP="00C45EE6">
      <w:pPr>
        <w:spacing w:after="0" w:line="240" w:lineRule="auto"/>
        <w:contextualSpacing/>
        <w:jc w:val="center"/>
        <w:rPr>
          <w:rFonts w:ascii="Times New Roman" w:hAnsi="Times New Roman"/>
          <w:b/>
          <w:bCs/>
          <w:sz w:val="24"/>
          <w:szCs w:val="24"/>
          <w:lang w:eastAsia="hr-HR"/>
        </w:rPr>
      </w:pPr>
      <w:r w:rsidRPr="00C45EE6">
        <w:rPr>
          <w:rFonts w:ascii="Times New Roman" w:hAnsi="Times New Roman"/>
          <w:b/>
          <w:bCs/>
          <w:sz w:val="24"/>
          <w:szCs w:val="24"/>
          <w:lang w:eastAsia="hr-HR"/>
        </w:rPr>
        <w:t>PRAVILA O FINANCIJSKIM KOREKCIJAMA</w:t>
      </w:r>
    </w:p>
    <w:p w14:paraId="4CA88B1E" w14:textId="14A3EF40" w:rsidR="00C45EE6" w:rsidRDefault="00C45EE6" w:rsidP="00C45EE6">
      <w:pPr>
        <w:spacing w:after="0" w:line="240" w:lineRule="auto"/>
        <w:contextualSpacing/>
        <w:jc w:val="both"/>
        <w:rPr>
          <w:rFonts w:ascii="Times New Roman" w:hAnsi="Times New Roman"/>
          <w:b/>
          <w:bCs/>
          <w:sz w:val="24"/>
          <w:szCs w:val="24"/>
          <w:lang w:eastAsia="hr-HR"/>
        </w:rPr>
      </w:pPr>
    </w:p>
    <w:p w14:paraId="701E2837" w14:textId="77777777" w:rsidR="00080C31" w:rsidRPr="00C45EE6" w:rsidRDefault="00080C31" w:rsidP="00C45EE6">
      <w:pPr>
        <w:spacing w:after="0" w:line="240" w:lineRule="auto"/>
        <w:contextualSpacing/>
        <w:jc w:val="both"/>
        <w:rPr>
          <w:rFonts w:ascii="Times New Roman" w:hAnsi="Times New Roman"/>
          <w:b/>
          <w:bCs/>
          <w:sz w:val="24"/>
          <w:szCs w:val="24"/>
          <w:lang w:eastAsia="hr-HR"/>
        </w:rPr>
      </w:pPr>
    </w:p>
    <w:p w14:paraId="78EDE812" w14:textId="77777777" w:rsidR="00C45EE6" w:rsidRPr="00C45EE6" w:rsidRDefault="00C45EE6" w:rsidP="00C45EE6">
      <w:pPr>
        <w:tabs>
          <w:tab w:val="left" w:pos="2665"/>
        </w:tabs>
        <w:spacing w:after="0" w:line="240" w:lineRule="auto"/>
        <w:contextualSpacing/>
        <w:jc w:val="both"/>
        <w:rPr>
          <w:rFonts w:ascii="Times New Roman" w:hAnsi="Times New Roman"/>
          <w:b/>
          <w:i/>
          <w:iCs/>
          <w:sz w:val="24"/>
          <w:szCs w:val="24"/>
          <w:lang w:eastAsia="hr-HR"/>
        </w:rPr>
      </w:pPr>
      <w:r w:rsidRPr="00C45EE6">
        <w:rPr>
          <w:rFonts w:ascii="Times New Roman" w:hAnsi="Times New Roman"/>
          <w:b/>
          <w:i/>
          <w:iCs/>
          <w:sz w:val="24"/>
          <w:szCs w:val="24"/>
          <w:lang w:eastAsia="hr-HR"/>
        </w:rPr>
        <w:tab/>
      </w:r>
    </w:p>
    <w:p w14:paraId="59ECE323" w14:textId="77777777" w:rsidR="00C45EE6" w:rsidRPr="00C45EE6" w:rsidRDefault="00C45EE6" w:rsidP="00C45EE6">
      <w:pPr>
        <w:spacing w:after="0" w:line="240" w:lineRule="auto"/>
        <w:contextualSpacing/>
        <w:jc w:val="center"/>
        <w:rPr>
          <w:rFonts w:ascii="Times New Roman" w:hAnsi="Times New Roman"/>
          <w:b/>
          <w:i/>
          <w:iCs/>
          <w:sz w:val="24"/>
          <w:szCs w:val="24"/>
          <w:lang w:eastAsia="hr-HR"/>
        </w:rPr>
      </w:pPr>
      <w:r w:rsidRPr="00C45EE6">
        <w:rPr>
          <w:rFonts w:ascii="Times New Roman" w:hAnsi="Times New Roman"/>
          <w:b/>
          <w:i/>
          <w:iCs/>
          <w:sz w:val="24"/>
          <w:szCs w:val="24"/>
          <w:lang w:eastAsia="hr-HR"/>
        </w:rPr>
        <w:t>Opće odredbe i definicije</w:t>
      </w:r>
    </w:p>
    <w:p w14:paraId="6FD2A56E" w14:textId="77777777" w:rsidR="00C45EE6" w:rsidRPr="00C45EE6" w:rsidRDefault="00C45EE6" w:rsidP="00C45EE6">
      <w:pPr>
        <w:spacing w:after="0" w:line="240" w:lineRule="auto"/>
        <w:contextualSpacing/>
        <w:jc w:val="center"/>
        <w:rPr>
          <w:rFonts w:ascii="Times New Roman" w:hAnsi="Times New Roman"/>
          <w:i/>
          <w:iCs/>
          <w:sz w:val="24"/>
          <w:szCs w:val="24"/>
          <w:lang w:eastAsia="hr-HR"/>
        </w:rPr>
      </w:pPr>
    </w:p>
    <w:p w14:paraId="7F21667E" w14:textId="77777777" w:rsidR="00C45EE6" w:rsidRPr="00C45EE6" w:rsidRDefault="00C45EE6" w:rsidP="00C45EE6">
      <w:pPr>
        <w:spacing w:after="0" w:line="240" w:lineRule="auto"/>
        <w:contextualSpacing/>
        <w:jc w:val="center"/>
        <w:rPr>
          <w:rFonts w:ascii="Times New Roman" w:hAnsi="Times New Roman"/>
          <w:sz w:val="24"/>
          <w:szCs w:val="24"/>
          <w:lang w:eastAsia="hr-HR"/>
        </w:rPr>
      </w:pPr>
      <w:r w:rsidRPr="00C45EE6">
        <w:rPr>
          <w:rFonts w:ascii="Times New Roman" w:hAnsi="Times New Roman"/>
          <w:sz w:val="24"/>
          <w:szCs w:val="24"/>
          <w:lang w:eastAsia="hr-HR"/>
        </w:rPr>
        <w:t>Članak 1.</w:t>
      </w:r>
    </w:p>
    <w:p w14:paraId="3F65E197"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428C3466"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(1) </w:t>
      </w:r>
      <w:r w:rsidRPr="00C45EE6">
        <w:rPr>
          <w:rFonts w:ascii="Times New Roman" w:hAnsi="Times New Roman"/>
          <w:bCs/>
          <w:sz w:val="24"/>
          <w:szCs w:val="24"/>
          <w:lang w:eastAsia="hr-HR"/>
        </w:rPr>
        <w:t xml:space="preserve">Pravila o financijskim korekcijama (u daljnjem tekstu: Pravila), </w:t>
      </w:r>
      <w:r w:rsidRPr="00C45EE6">
        <w:rPr>
          <w:rFonts w:ascii="Times New Roman" w:hAnsi="Times New Roman"/>
          <w:sz w:val="24"/>
          <w:szCs w:val="24"/>
          <w:lang w:eastAsia="hr-HR"/>
        </w:rPr>
        <w:t xml:space="preserve">sastavni su dio </w:t>
      </w:r>
      <w:r w:rsidRPr="00C45EE6">
        <w:rPr>
          <w:rFonts w:ascii="Times New Roman" w:hAnsi="Times New Roman"/>
          <w:bCs/>
          <w:sz w:val="24"/>
          <w:szCs w:val="24"/>
          <w:lang w:eastAsia="hr-HR"/>
        </w:rPr>
        <w:t>Ugovora o dodjeli bespovratnih sredstava za projekte koji se financiraju u okviru Nacionalnog plana oporavka i otpornosti 2021.-2026. (u daljnjem tekstu: NPOO).</w:t>
      </w:r>
    </w:p>
    <w:p w14:paraId="17C2FF07"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2EBE7E72"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5D059927"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3AD160C8" w14:textId="77777777" w:rsidR="00C45EE6" w:rsidRPr="00C45EE6" w:rsidRDefault="00C45EE6" w:rsidP="00C45EE6">
      <w:pPr>
        <w:spacing w:after="0" w:line="240" w:lineRule="auto"/>
        <w:contextualSpacing/>
        <w:jc w:val="both"/>
        <w:rPr>
          <w:rFonts w:ascii="Times New Roman" w:eastAsia="Calibri" w:hAnsi="Times New Roman"/>
          <w:sz w:val="24"/>
          <w:szCs w:val="24"/>
        </w:rPr>
      </w:pPr>
      <w:r w:rsidRPr="00C45EE6">
        <w:rPr>
          <w:rFonts w:ascii="Times New Roman" w:hAnsi="Times New Roman"/>
          <w:bCs/>
          <w:sz w:val="24"/>
          <w:szCs w:val="24"/>
          <w:lang w:eastAsia="hr-HR"/>
        </w:rPr>
        <w:t xml:space="preserve">(3) U postupku utvrđivanja i određivanja financijskih korekcija, primjenjuje se načelo jednakog postupanja prema svim korisnicima (i partnerima) bespovratnih sredstava te </w:t>
      </w:r>
      <w:r w:rsidRPr="00C45EE6">
        <w:rPr>
          <w:rFonts w:ascii="Times New Roman" w:eastAsia="Calibri" w:hAnsi="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0D7ABCEA" w14:textId="77777777" w:rsidR="00C45EE6" w:rsidRPr="00C45EE6" w:rsidRDefault="00C45EE6" w:rsidP="00C45EE6">
      <w:pPr>
        <w:spacing w:after="0" w:line="240" w:lineRule="auto"/>
        <w:contextualSpacing/>
        <w:jc w:val="both"/>
        <w:rPr>
          <w:rFonts w:ascii="Times New Roman" w:eastAsia="Calibri" w:hAnsi="Times New Roman"/>
          <w:sz w:val="24"/>
          <w:szCs w:val="24"/>
        </w:rPr>
      </w:pPr>
    </w:p>
    <w:p w14:paraId="38AE11D5" w14:textId="77777777" w:rsidR="00C45EE6" w:rsidRPr="00C45EE6" w:rsidRDefault="00C45EE6" w:rsidP="00C45EE6">
      <w:pPr>
        <w:spacing w:after="0" w:line="240" w:lineRule="auto"/>
        <w:contextualSpacing/>
        <w:jc w:val="both"/>
        <w:rPr>
          <w:rFonts w:ascii="Times New Roman" w:hAnsi="Times New Roman"/>
          <w:bCs/>
          <w:sz w:val="24"/>
          <w:szCs w:val="24"/>
          <w:lang w:eastAsia="hr-HR"/>
        </w:rPr>
      </w:pPr>
      <w:r w:rsidRPr="00C45EE6">
        <w:rPr>
          <w:rFonts w:ascii="Times New Roman" w:eastAsia="Calibri" w:hAnsi="Times New Roman"/>
          <w:sz w:val="24"/>
          <w:szCs w:val="24"/>
        </w:rPr>
        <w:t>(4) Prijavitelj i partneri prijavitelja, odnosno korisnici i partneri korisnika te nadležna tijela postupaju u skladu s pravilima i načelima javne nabave, odnosno nabave koju provode neobveznici Zakona o javnoj nabavi.</w:t>
      </w:r>
    </w:p>
    <w:p w14:paraId="08EEF465" w14:textId="77777777" w:rsidR="00C45EE6" w:rsidRPr="00C45EE6" w:rsidRDefault="00C45EE6" w:rsidP="00C45EE6">
      <w:pPr>
        <w:spacing w:after="0" w:line="240" w:lineRule="auto"/>
        <w:contextualSpacing/>
        <w:jc w:val="both"/>
        <w:rPr>
          <w:rFonts w:ascii="Times New Roman" w:hAnsi="Times New Roman"/>
          <w:bCs/>
          <w:sz w:val="24"/>
          <w:szCs w:val="24"/>
          <w:lang w:eastAsia="hr-HR"/>
        </w:rPr>
      </w:pPr>
    </w:p>
    <w:p w14:paraId="52227C44"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100611AD"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(5)</w:t>
      </w:r>
      <w:r w:rsidRPr="00C45EE6">
        <w:rPr>
          <w:rFonts w:ascii="Times New Roman" w:hAnsi="Times New Roman"/>
          <w:bCs/>
          <w:sz w:val="24"/>
          <w:szCs w:val="24"/>
          <w:lang w:eastAsia="hr-HR"/>
        </w:rPr>
        <w:t xml:space="preserve"> Prihvaćanjem ovih Pravila korisnik pristaje da mu nadležno tijelo, u slučajevima i pod uvjetima te na način definiran ovim Pravilima, određuje financijske korekcije.</w:t>
      </w:r>
    </w:p>
    <w:p w14:paraId="53E0CC93" w14:textId="4FF879C5" w:rsidR="00C45EE6" w:rsidRDefault="00C45EE6" w:rsidP="00C45EE6">
      <w:pPr>
        <w:spacing w:after="0" w:line="240" w:lineRule="auto"/>
        <w:contextualSpacing/>
        <w:jc w:val="both"/>
        <w:rPr>
          <w:rFonts w:ascii="Times New Roman" w:hAnsi="Times New Roman"/>
          <w:sz w:val="24"/>
          <w:szCs w:val="24"/>
          <w:lang w:eastAsia="hr-HR"/>
        </w:rPr>
      </w:pPr>
    </w:p>
    <w:p w14:paraId="12FBB326" w14:textId="5E0C97F6" w:rsidR="00080C31" w:rsidRDefault="00080C31" w:rsidP="00C45EE6">
      <w:pPr>
        <w:spacing w:after="0" w:line="240" w:lineRule="auto"/>
        <w:contextualSpacing/>
        <w:jc w:val="both"/>
        <w:rPr>
          <w:rFonts w:ascii="Times New Roman" w:hAnsi="Times New Roman"/>
          <w:sz w:val="24"/>
          <w:szCs w:val="24"/>
          <w:lang w:eastAsia="hr-HR"/>
        </w:rPr>
      </w:pPr>
    </w:p>
    <w:p w14:paraId="242EA4CA" w14:textId="5A81EEEE" w:rsidR="00080C31" w:rsidRDefault="00080C31" w:rsidP="00C45EE6">
      <w:pPr>
        <w:spacing w:after="0" w:line="240" w:lineRule="auto"/>
        <w:contextualSpacing/>
        <w:jc w:val="both"/>
        <w:rPr>
          <w:rFonts w:ascii="Times New Roman" w:hAnsi="Times New Roman"/>
          <w:sz w:val="24"/>
          <w:szCs w:val="24"/>
          <w:lang w:eastAsia="hr-HR"/>
        </w:rPr>
      </w:pPr>
    </w:p>
    <w:p w14:paraId="45B7FE32" w14:textId="77777777" w:rsidR="00080C31" w:rsidRPr="00C45EE6" w:rsidRDefault="00080C31" w:rsidP="00C45EE6">
      <w:pPr>
        <w:spacing w:after="0" w:line="240" w:lineRule="auto"/>
        <w:contextualSpacing/>
        <w:jc w:val="both"/>
        <w:rPr>
          <w:rFonts w:ascii="Times New Roman" w:hAnsi="Times New Roman"/>
          <w:sz w:val="24"/>
          <w:szCs w:val="24"/>
          <w:lang w:eastAsia="hr-HR"/>
        </w:rPr>
      </w:pPr>
    </w:p>
    <w:p w14:paraId="7214FC1D" w14:textId="77777777" w:rsidR="00C45EE6" w:rsidRPr="00C45EE6" w:rsidRDefault="00C45EE6" w:rsidP="00C45EE6">
      <w:pPr>
        <w:spacing w:after="0" w:line="240" w:lineRule="auto"/>
        <w:contextualSpacing/>
        <w:jc w:val="center"/>
        <w:rPr>
          <w:rFonts w:ascii="Times New Roman" w:hAnsi="Times New Roman"/>
          <w:sz w:val="24"/>
          <w:szCs w:val="24"/>
          <w:lang w:eastAsia="hr-HR"/>
        </w:rPr>
      </w:pPr>
      <w:r w:rsidRPr="00C45EE6">
        <w:rPr>
          <w:rFonts w:ascii="Times New Roman" w:hAnsi="Times New Roman"/>
          <w:sz w:val="24"/>
          <w:szCs w:val="24"/>
          <w:lang w:eastAsia="hr-HR"/>
        </w:rPr>
        <w:lastRenderedPageBreak/>
        <w:t>Članak 2.</w:t>
      </w:r>
    </w:p>
    <w:p w14:paraId="2A18E723" w14:textId="77777777" w:rsidR="00C45EE6" w:rsidRPr="00C45EE6" w:rsidRDefault="00C45EE6" w:rsidP="00C45EE6">
      <w:pPr>
        <w:spacing w:after="0" w:line="240" w:lineRule="auto"/>
        <w:contextualSpacing/>
        <w:jc w:val="center"/>
        <w:rPr>
          <w:rFonts w:ascii="Times New Roman" w:hAnsi="Times New Roman"/>
          <w:sz w:val="24"/>
          <w:szCs w:val="24"/>
          <w:lang w:eastAsia="hr-HR"/>
        </w:rPr>
      </w:pPr>
    </w:p>
    <w:p w14:paraId="1867F445" w14:textId="77777777" w:rsidR="00C45EE6" w:rsidRPr="00C45EE6" w:rsidRDefault="00C45EE6" w:rsidP="00C45EE6">
      <w:pPr>
        <w:spacing w:after="0" w:line="240" w:lineRule="auto"/>
        <w:contextualSpacing/>
        <w:rPr>
          <w:rFonts w:ascii="Times New Roman" w:hAnsi="Times New Roman"/>
          <w:sz w:val="24"/>
          <w:szCs w:val="24"/>
          <w:lang w:eastAsia="hr-HR"/>
        </w:rPr>
      </w:pPr>
      <w:r w:rsidRPr="00C45EE6">
        <w:rPr>
          <w:rFonts w:ascii="Times New Roman" w:hAnsi="Times New Roman"/>
          <w:sz w:val="24"/>
          <w:szCs w:val="24"/>
          <w:lang w:eastAsia="hr-HR"/>
        </w:rPr>
        <w:t>(1) Pojedini pojmovi u smislu ovih Pravila imaju sljedeće značenje:</w:t>
      </w:r>
    </w:p>
    <w:p w14:paraId="6712CAA3"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56F4CBAB" w14:textId="77777777" w:rsidR="00C45EE6" w:rsidRPr="00C45EE6" w:rsidRDefault="00C45EE6" w:rsidP="00C45EE6">
      <w:pPr>
        <w:autoSpaceDE w:val="0"/>
        <w:autoSpaceDN w:val="0"/>
        <w:adjustRightInd w:val="0"/>
        <w:spacing w:after="0" w:line="240" w:lineRule="auto"/>
        <w:contextualSpacing/>
        <w:jc w:val="both"/>
        <w:rPr>
          <w:rFonts w:ascii="Times New Roman" w:eastAsia="Calibri" w:hAnsi="Times New Roman"/>
          <w:sz w:val="24"/>
          <w:szCs w:val="24"/>
        </w:rPr>
      </w:pPr>
      <w:r w:rsidRPr="00C45EE6">
        <w:rPr>
          <w:rFonts w:ascii="Times New Roman" w:hAnsi="Times New Roman"/>
          <w:sz w:val="24"/>
          <w:szCs w:val="24"/>
          <w:lang w:eastAsia="hr-HR"/>
        </w:rPr>
        <w:t>1.</w:t>
      </w:r>
      <w:r w:rsidRPr="00C45EE6">
        <w:rPr>
          <w:rFonts w:ascii="Times New Roman" w:hAnsi="Times New Roman"/>
          <w:i/>
          <w:sz w:val="24"/>
          <w:szCs w:val="24"/>
          <w:lang w:eastAsia="hr-HR"/>
        </w:rPr>
        <w:t xml:space="preserve"> Financijska korekcija</w:t>
      </w:r>
      <w:r w:rsidRPr="00C45EE6">
        <w:rPr>
          <w:rFonts w:ascii="Times New Roman" w:hAnsi="Times New Roman"/>
          <w:sz w:val="24"/>
          <w:szCs w:val="24"/>
          <w:lang w:eastAsia="hr-HR"/>
        </w:rPr>
        <w:t xml:space="preserve"> 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08365403" w14:textId="77777777" w:rsidR="00C45EE6" w:rsidRPr="00C45EE6" w:rsidRDefault="00C45EE6" w:rsidP="00C45EE6">
      <w:pPr>
        <w:spacing w:before="240" w:after="240" w:line="240" w:lineRule="auto"/>
        <w:jc w:val="both"/>
        <w:rPr>
          <w:rFonts w:ascii="Times New Roman" w:hAnsi="Times New Roman"/>
          <w:sz w:val="24"/>
          <w:szCs w:val="24"/>
        </w:rPr>
      </w:pPr>
      <w:r w:rsidRPr="00C45EE6">
        <w:rPr>
          <w:rFonts w:ascii="Times New Roman" w:hAnsi="Times New Roman"/>
          <w:sz w:val="24"/>
          <w:szCs w:val="24"/>
        </w:rPr>
        <w:t xml:space="preserve">2. </w:t>
      </w:r>
      <w:r w:rsidRPr="00C45EE6">
        <w:rPr>
          <w:rFonts w:ascii="Times New Roman" w:hAnsi="Times New Roman"/>
          <w:i/>
          <w:sz w:val="24"/>
          <w:szCs w:val="24"/>
        </w:rPr>
        <w:t>Nadležno tijelo</w:t>
      </w:r>
      <w:r w:rsidRPr="00C45EE6">
        <w:rPr>
          <w:rFonts w:ascii="Times New Roman" w:hAnsi="Times New Roman"/>
          <w:sz w:val="24"/>
          <w:szCs w:val="24"/>
        </w:rPr>
        <w:t xml:space="preserve"> je Tijelo nadležno za pojedinu komponentu/podkomponentu </w:t>
      </w:r>
      <w:r w:rsidRPr="00C45EE6" w:rsidDel="00D40619">
        <w:rPr>
          <w:rFonts w:ascii="Times New Roman" w:hAnsi="Times New Roman"/>
          <w:sz w:val="24"/>
          <w:szCs w:val="24"/>
        </w:rPr>
        <w:t xml:space="preserve"> </w:t>
      </w:r>
      <w:r w:rsidRPr="00C45EE6">
        <w:rPr>
          <w:rFonts w:ascii="Times New Roman" w:hAnsi="Times New Roman"/>
          <w:sz w:val="24"/>
          <w:szCs w:val="24"/>
        </w:rPr>
        <w:t>i/ili Provedbeno tijelo.</w:t>
      </w:r>
    </w:p>
    <w:p w14:paraId="2741B85B" w14:textId="77777777" w:rsidR="00C45EE6" w:rsidRPr="00C45EE6" w:rsidRDefault="00C45EE6" w:rsidP="00C45EE6">
      <w:pPr>
        <w:autoSpaceDE w:val="0"/>
        <w:autoSpaceDN w:val="0"/>
        <w:adjustRightInd w:val="0"/>
        <w:spacing w:after="0" w:line="240" w:lineRule="auto"/>
        <w:contextualSpacing/>
        <w:jc w:val="both"/>
        <w:rPr>
          <w:rFonts w:ascii="Times New Roman" w:eastAsia="Calibri" w:hAnsi="Times New Roman"/>
          <w:sz w:val="24"/>
          <w:szCs w:val="24"/>
        </w:rPr>
      </w:pPr>
      <w:r w:rsidRPr="00C45EE6">
        <w:rPr>
          <w:rFonts w:ascii="Times New Roman" w:hAnsi="Times New Roman"/>
          <w:sz w:val="24"/>
          <w:szCs w:val="24"/>
          <w:lang w:eastAsia="hr-HR"/>
        </w:rPr>
        <w:t xml:space="preserve">3. </w:t>
      </w:r>
      <w:r w:rsidRPr="00C45EE6">
        <w:rPr>
          <w:rFonts w:ascii="Times New Roman" w:hAnsi="Times New Roman"/>
          <w:i/>
          <w:sz w:val="24"/>
          <w:szCs w:val="24"/>
          <w:lang w:eastAsia="hr-HR"/>
        </w:rPr>
        <w:t>Nepravilnost</w:t>
      </w:r>
      <w:r w:rsidRPr="00C45EE6">
        <w:rPr>
          <w:rFonts w:ascii="Times New Roman" w:hAnsi="Times New Roman"/>
          <w:sz w:val="24"/>
          <w:szCs w:val="24"/>
          <w:lang w:eastAsia="hr-HR"/>
        </w:rPr>
        <w:t xml:space="preserve"> je </w:t>
      </w:r>
      <w:r w:rsidRPr="00C45EE6">
        <w:rPr>
          <w:rFonts w:ascii="Times New Roman" w:eastAsia="Calibri" w:hAnsi="Times New Roman"/>
          <w:sz w:val="24"/>
          <w:szCs w:val="24"/>
        </w:rPr>
        <w:t>kršenje prava Europske unije ili nacionalnog prava u vezi s njegovom primjenom koje proizlazi iz djelovanja ili propusta gospodarskog subjekta uključenog u provedbu Mehanizma za oporavak i otpornost koje šteti, ili bi moglo naštetiti proračunu Unije</w:t>
      </w:r>
      <w:r w:rsidRPr="00C45EE6">
        <w:rPr>
          <w:rFonts w:ascii="Times New Roman" w:eastAsia="Calibri" w:hAnsi="Times New Roman"/>
          <w:sz w:val="24"/>
          <w:szCs w:val="24"/>
          <w:vertAlign w:val="superscript"/>
        </w:rPr>
        <w:footnoteReference w:id="1"/>
      </w:r>
      <w:r w:rsidRPr="00C45EE6">
        <w:rPr>
          <w:rFonts w:ascii="Times New Roman" w:eastAsia="Calibri" w:hAnsi="Times New Roman"/>
          <w:sz w:val="24"/>
          <w:szCs w:val="24"/>
        </w:rPr>
        <w:t>, tako da optereti proračun Unije neopravdanim izdatkom.</w:t>
      </w:r>
    </w:p>
    <w:p w14:paraId="1F4A368E" w14:textId="77777777" w:rsidR="00C45EE6" w:rsidRPr="00C45EE6" w:rsidRDefault="00C45EE6" w:rsidP="00C45EE6">
      <w:pPr>
        <w:spacing w:after="0" w:line="240" w:lineRule="auto"/>
        <w:contextualSpacing/>
        <w:jc w:val="both"/>
        <w:rPr>
          <w:rFonts w:ascii="Times New Roman" w:eastAsia="Calibri" w:hAnsi="Times New Roman"/>
          <w:sz w:val="24"/>
          <w:szCs w:val="24"/>
        </w:rPr>
      </w:pPr>
    </w:p>
    <w:p w14:paraId="7D1BA19A" w14:textId="77777777" w:rsidR="00C45EE6" w:rsidRPr="00C45EE6" w:rsidRDefault="00C45EE6" w:rsidP="00C45EE6">
      <w:pPr>
        <w:spacing w:after="0" w:line="240" w:lineRule="auto"/>
        <w:contextualSpacing/>
        <w:jc w:val="both"/>
        <w:rPr>
          <w:rFonts w:ascii="Times New Roman" w:eastAsia="Calibri" w:hAnsi="Times New Roman"/>
          <w:sz w:val="24"/>
          <w:szCs w:val="24"/>
        </w:rPr>
      </w:pPr>
      <w:r w:rsidRPr="00C45EE6">
        <w:rPr>
          <w:rFonts w:ascii="Times New Roman" w:eastAsia="Calibri" w:hAnsi="Times New Roman"/>
          <w:sz w:val="24"/>
          <w:szCs w:val="24"/>
        </w:rPr>
        <w:t xml:space="preserve">4. </w:t>
      </w:r>
      <w:r w:rsidRPr="00C45EE6">
        <w:rPr>
          <w:rFonts w:ascii="Times New Roman" w:eastAsia="Calibri" w:hAnsi="Times New Roman"/>
          <w:i/>
          <w:sz w:val="24"/>
          <w:szCs w:val="24"/>
        </w:rPr>
        <w:t>Prijevara</w:t>
      </w:r>
      <w:r w:rsidRPr="00C45EE6">
        <w:rPr>
          <w:rFonts w:ascii="Times New Roman" w:eastAsia="Calibri" w:hAnsi="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Pr="00C45EE6">
        <w:rPr>
          <w:rFonts w:ascii="Times New Roman" w:eastAsia="Calibri" w:hAnsi="Times New Roman"/>
          <w:sz w:val="24"/>
          <w:szCs w:val="24"/>
          <w:vertAlign w:val="superscript"/>
        </w:rPr>
        <w:footnoteReference w:id="2"/>
      </w:r>
      <w:r w:rsidRPr="00C45EE6">
        <w:rPr>
          <w:rFonts w:ascii="Times New Roman" w:eastAsia="Calibri" w:hAnsi="Times New Roman"/>
          <w:sz w:val="24"/>
          <w:szCs w:val="24"/>
        </w:rPr>
        <w:t xml:space="preserve"> </w:t>
      </w:r>
    </w:p>
    <w:p w14:paraId="28137DBE" w14:textId="77777777" w:rsidR="00C45EE6" w:rsidRPr="00C45EE6" w:rsidRDefault="00C45EE6" w:rsidP="00C45EE6">
      <w:pPr>
        <w:spacing w:after="0" w:line="240" w:lineRule="auto"/>
        <w:contextualSpacing/>
        <w:jc w:val="both"/>
        <w:rPr>
          <w:rFonts w:ascii="Times New Roman" w:eastAsia="Calibri" w:hAnsi="Times New Roman"/>
          <w:sz w:val="24"/>
          <w:szCs w:val="24"/>
        </w:rPr>
      </w:pPr>
    </w:p>
    <w:p w14:paraId="0ECBB1FA" w14:textId="77777777" w:rsidR="00C45EE6" w:rsidRPr="00C45EE6" w:rsidRDefault="00C45EE6" w:rsidP="00C45EE6">
      <w:pPr>
        <w:spacing w:after="0" w:line="240" w:lineRule="auto"/>
        <w:contextualSpacing/>
        <w:jc w:val="both"/>
        <w:rPr>
          <w:rFonts w:ascii="Times New Roman" w:eastAsia="Calibri" w:hAnsi="Times New Roman"/>
          <w:sz w:val="24"/>
          <w:szCs w:val="24"/>
        </w:rPr>
      </w:pPr>
      <w:r w:rsidRPr="00C45EE6">
        <w:rPr>
          <w:rFonts w:ascii="Times New Roman" w:eastAsia="Calibri" w:hAnsi="Times New Roman"/>
          <w:sz w:val="24"/>
          <w:szCs w:val="24"/>
        </w:rPr>
        <w:t>Prijevara jest nepravilnost. Podrazumijeva kumulativno ispunjenje sljedećih uvjeta:</w:t>
      </w:r>
    </w:p>
    <w:p w14:paraId="37777007" w14:textId="77777777" w:rsidR="00C45EE6" w:rsidRPr="00C45EE6" w:rsidRDefault="00C45EE6" w:rsidP="00C45EE6">
      <w:pPr>
        <w:spacing w:after="0" w:line="240" w:lineRule="auto"/>
        <w:contextualSpacing/>
        <w:jc w:val="both"/>
        <w:rPr>
          <w:rFonts w:ascii="Times New Roman" w:eastAsia="Calibri" w:hAnsi="Times New Roman"/>
          <w:sz w:val="24"/>
          <w:szCs w:val="24"/>
        </w:rPr>
      </w:pPr>
    </w:p>
    <w:p w14:paraId="7C119CD3" w14:textId="77777777" w:rsidR="00C45EE6" w:rsidRPr="00C45EE6" w:rsidRDefault="00C45EE6" w:rsidP="00C45EE6">
      <w:pPr>
        <w:spacing w:after="0" w:line="240" w:lineRule="auto"/>
        <w:contextualSpacing/>
        <w:jc w:val="both"/>
        <w:rPr>
          <w:rFonts w:ascii="Times New Roman" w:eastAsia="Calibri" w:hAnsi="Times New Roman"/>
          <w:sz w:val="24"/>
          <w:szCs w:val="24"/>
        </w:rPr>
      </w:pPr>
      <w:r w:rsidRPr="00C45EE6">
        <w:rPr>
          <w:rFonts w:ascii="Times New Roman" w:eastAsia="Calibri" w:hAnsi="Times New Roman"/>
          <w:sz w:val="24"/>
          <w:szCs w:val="24"/>
        </w:rPr>
        <w:t>- donesena je pravomoćna presuda, i</w:t>
      </w:r>
    </w:p>
    <w:p w14:paraId="4ABA3427" w14:textId="77777777" w:rsidR="00C45EE6" w:rsidRPr="00C45EE6" w:rsidRDefault="00C45EE6" w:rsidP="00C45EE6">
      <w:pPr>
        <w:spacing w:after="0" w:line="240" w:lineRule="auto"/>
        <w:contextualSpacing/>
        <w:jc w:val="both"/>
        <w:rPr>
          <w:rFonts w:ascii="Times New Roman" w:eastAsia="Calibri" w:hAnsi="Times New Roman"/>
          <w:sz w:val="24"/>
          <w:szCs w:val="24"/>
        </w:rPr>
      </w:pPr>
      <w:r w:rsidRPr="00C45EE6">
        <w:rPr>
          <w:rFonts w:ascii="Times New Roman" w:eastAsia="Calibri" w:hAnsi="Times New Roman"/>
          <w:sz w:val="24"/>
          <w:szCs w:val="24"/>
        </w:rPr>
        <w:t>- utvrđena je poveznica između kaznenog djela i projekta.</w:t>
      </w:r>
    </w:p>
    <w:p w14:paraId="646F8C6A" w14:textId="77777777" w:rsidR="00C45EE6" w:rsidRPr="00C45EE6" w:rsidRDefault="00C45EE6" w:rsidP="00C45EE6">
      <w:pPr>
        <w:spacing w:after="0" w:line="240" w:lineRule="auto"/>
        <w:contextualSpacing/>
        <w:jc w:val="both"/>
        <w:rPr>
          <w:rFonts w:ascii="Times New Roman" w:eastAsia="Calibri" w:hAnsi="Times New Roman"/>
          <w:sz w:val="24"/>
          <w:szCs w:val="24"/>
        </w:rPr>
      </w:pPr>
    </w:p>
    <w:p w14:paraId="266AACF4" w14:textId="77777777" w:rsidR="00C45EE6" w:rsidRPr="00C45EE6" w:rsidRDefault="00C45EE6" w:rsidP="00C45EE6">
      <w:pPr>
        <w:spacing w:after="0" w:line="240" w:lineRule="auto"/>
        <w:contextualSpacing/>
        <w:jc w:val="both"/>
        <w:rPr>
          <w:rFonts w:ascii="Times New Roman" w:eastAsia="Calibri" w:hAnsi="Times New Roman"/>
          <w:sz w:val="24"/>
          <w:szCs w:val="24"/>
        </w:rPr>
      </w:pPr>
      <w:r w:rsidRPr="00C45EE6">
        <w:rPr>
          <w:rFonts w:ascii="Times New Roman" w:eastAsia="Calibri" w:hAnsi="Times New Roman"/>
          <w:sz w:val="24"/>
          <w:szCs w:val="24"/>
        </w:rPr>
        <w:t>Nadležno tijelo može sumnjati na prijevaru, što može biti osnova za poduzimanje određenih radnji.</w:t>
      </w:r>
    </w:p>
    <w:p w14:paraId="6579DC70" w14:textId="77777777" w:rsidR="00C45EE6" w:rsidRPr="00C45EE6" w:rsidRDefault="00C45EE6" w:rsidP="00C45EE6">
      <w:pPr>
        <w:spacing w:after="0" w:line="240" w:lineRule="auto"/>
        <w:contextualSpacing/>
        <w:rPr>
          <w:rFonts w:ascii="Times New Roman" w:eastAsia="Calibri" w:hAnsi="Times New Roman"/>
          <w:sz w:val="24"/>
          <w:szCs w:val="24"/>
        </w:rPr>
      </w:pPr>
    </w:p>
    <w:p w14:paraId="0F0A9FB0"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(2) Ostali pojmovi u smislu ovog Pravila imaju značenja kako je opisano u Ugovoru o dodjeli bespovratnih sredstava.  </w:t>
      </w:r>
    </w:p>
    <w:p w14:paraId="259CE51A" w14:textId="49A6A537" w:rsidR="00C45EE6" w:rsidRDefault="00C45EE6" w:rsidP="00C45EE6">
      <w:pPr>
        <w:spacing w:after="0" w:line="240" w:lineRule="auto"/>
        <w:contextualSpacing/>
        <w:rPr>
          <w:rFonts w:ascii="Times New Roman" w:hAnsi="Times New Roman"/>
          <w:sz w:val="24"/>
          <w:szCs w:val="24"/>
          <w:lang w:eastAsia="hr-HR"/>
        </w:rPr>
      </w:pPr>
    </w:p>
    <w:p w14:paraId="191D1ABB" w14:textId="2C0DFA30" w:rsidR="00080C31" w:rsidRDefault="00080C31" w:rsidP="00C45EE6">
      <w:pPr>
        <w:spacing w:after="0" w:line="240" w:lineRule="auto"/>
        <w:contextualSpacing/>
        <w:rPr>
          <w:rFonts w:ascii="Times New Roman" w:hAnsi="Times New Roman"/>
          <w:sz w:val="24"/>
          <w:szCs w:val="24"/>
          <w:lang w:eastAsia="hr-HR"/>
        </w:rPr>
      </w:pPr>
    </w:p>
    <w:p w14:paraId="2F43BC4F" w14:textId="0D68DE25" w:rsidR="00080C31" w:rsidRDefault="00080C31" w:rsidP="00C45EE6">
      <w:pPr>
        <w:spacing w:after="0" w:line="240" w:lineRule="auto"/>
        <w:contextualSpacing/>
        <w:rPr>
          <w:rFonts w:ascii="Times New Roman" w:hAnsi="Times New Roman"/>
          <w:sz w:val="24"/>
          <w:szCs w:val="24"/>
          <w:lang w:eastAsia="hr-HR"/>
        </w:rPr>
      </w:pPr>
    </w:p>
    <w:p w14:paraId="0B1EF8DA" w14:textId="3CCB54C1" w:rsidR="00080C31" w:rsidRDefault="00080C31" w:rsidP="00C45EE6">
      <w:pPr>
        <w:spacing w:after="0" w:line="240" w:lineRule="auto"/>
        <w:contextualSpacing/>
        <w:rPr>
          <w:rFonts w:ascii="Times New Roman" w:hAnsi="Times New Roman"/>
          <w:sz w:val="24"/>
          <w:szCs w:val="24"/>
          <w:lang w:eastAsia="hr-HR"/>
        </w:rPr>
      </w:pPr>
    </w:p>
    <w:p w14:paraId="5F7F55B7" w14:textId="6AB36A5A" w:rsidR="00080C31" w:rsidRDefault="00080C31" w:rsidP="00C45EE6">
      <w:pPr>
        <w:spacing w:after="0" w:line="240" w:lineRule="auto"/>
        <w:contextualSpacing/>
        <w:rPr>
          <w:rFonts w:ascii="Times New Roman" w:hAnsi="Times New Roman"/>
          <w:sz w:val="24"/>
          <w:szCs w:val="24"/>
          <w:lang w:eastAsia="hr-HR"/>
        </w:rPr>
      </w:pPr>
    </w:p>
    <w:p w14:paraId="0003DCBC" w14:textId="17B67163" w:rsidR="00080C31" w:rsidRDefault="00080C31" w:rsidP="00C45EE6">
      <w:pPr>
        <w:spacing w:after="0" w:line="240" w:lineRule="auto"/>
        <w:contextualSpacing/>
        <w:rPr>
          <w:rFonts w:ascii="Times New Roman" w:hAnsi="Times New Roman"/>
          <w:sz w:val="24"/>
          <w:szCs w:val="24"/>
          <w:lang w:eastAsia="hr-HR"/>
        </w:rPr>
      </w:pPr>
    </w:p>
    <w:p w14:paraId="4D28A221" w14:textId="0FC2463F" w:rsidR="00080C31" w:rsidRDefault="00080C31" w:rsidP="00C45EE6">
      <w:pPr>
        <w:spacing w:after="0" w:line="240" w:lineRule="auto"/>
        <w:contextualSpacing/>
        <w:rPr>
          <w:rFonts w:ascii="Times New Roman" w:hAnsi="Times New Roman"/>
          <w:sz w:val="24"/>
          <w:szCs w:val="24"/>
          <w:lang w:eastAsia="hr-HR"/>
        </w:rPr>
      </w:pPr>
    </w:p>
    <w:p w14:paraId="2B0DA53F" w14:textId="4346309A" w:rsidR="00080C31" w:rsidRDefault="00080C31" w:rsidP="00C45EE6">
      <w:pPr>
        <w:spacing w:after="0" w:line="240" w:lineRule="auto"/>
        <w:contextualSpacing/>
        <w:rPr>
          <w:rFonts w:ascii="Times New Roman" w:hAnsi="Times New Roman"/>
          <w:sz w:val="24"/>
          <w:szCs w:val="24"/>
          <w:lang w:eastAsia="hr-HR"/>
        </w:rPr>
      </w:pPr>
    </w:p>
    <w:p w14:paraId="76C36C8B" w14:textId="77777777" w:rsidR="00080C31" w:rsidRPr="00C45EE6" w:rsidRDefault="00080C31" w:rsidP="00C45EE6">
      <w:pPr>
        <w:spacing w:after="0" w:line="240" w:lineRule="auto"/>
        <w:contextualSpacing/>
        <w:rPr>
          <w:rFonts w:ascii="Times New Roman" w:hAnsi="Times New Roman"/>
          <w:sz w:val="24"/>
          <w:szCs w:val="24"/>
          <w:lang w:eastAsia="hr-HR"/>
        </w:rPr>
      </w:pPr>
    </w:p>
    <w:p w14:paraId="0F0DD8D6" w14:textId="77777777" w:rsidR="00C45EE6" w:rsidRPr="00C45EE6" w:rsidRDefault="00C45EE6" w:rsidP="00C45EE6">
      <w:pPr>
        <w:spacing w:after="0" w:line="240" w:lineRule="auto"/>
        <w:ind w:left="3540"/>
        <w:contextualSpacing/>
        <w:rPr>
          <w:rFonts w:ascii="Times New Roman" w:hAnsi="Times New Roman"/>
          <w:sz w:val="24"/>
          <w:szCs w:val="24"/>
          <w:lang w:eastAsia="hr-HR"/>
        </w:rPr>
      </w:pPr>
      <w:r w:rsidRPr="00C45EE6">
        <w:rPr>
          <w:rFonts w:ascii="Times New Roman" w:hAnsi="Times New Roman"/>
          <w:sz w:val="24"/>
          <w:szCs w:val="24"/>
          <w:lang w:eastAsia="hr-HR"/>
        </w:rPr>
        <w:lastRenderedPageBreak/>
        <w:t xml:space="preserve">       </w:t>
      </w:r>
      <w:r w:rsidRPr="00C45EE6">
        <w:rPr>
          <w:rFonts w:ascii="Times New Roman" w:hAnsi="Times New Roman"/>
          <w:b/>
          <w:i/>
          <w:sz w:val="24"/>
          <w:szCs w:val="24"/>
          <w:lang w:eastAsia="hr-HR"/>
        </w:rPr>
        <w:t>Nadležnost</w:t>
      </w:r>
    </w:p>
    <w:p w14:paraId="21443AAC" w14:textId="77777777" w:rsidR="00C45EE6" w:rsidRPr="00C45EE6" w:rsidRDefault="00C45EE6" w:rsidP="00C45EE6">
      <w:pPr>
        <w:spacing w:after="0" w:line="240" w:lineRule="auto"/>
        <w:contextualSpacing/>
        <w:jc w:val="center"/>
        <w:rPr>
          <w:rFonts w:ascii="Times New Roman" w:hAnsi="Times New Roman"/>
          <w:sz w:val="24"/>
          <w:szCs w:val="24"/>
          <w:lang w:eastAsia="hr-HR"/>
        </w:rPr>
      </w:pPr>
    </w:p>
    <w:p w14:paraId="518BA369" w14:textId="77777777" w:rsidR="00C45EE6" w:rsidRPr="00C45EE6" w:rsidRDefault="00C45EE6" w:rsidP="00C45EE6">
      <w:pPr>
        <w:spacing w:after="0" w:line="240" w:lineRule="auto"/>
        <w:contextualSpacing/>
        <w:jc w:val="center"/>
        <w:rPr>
          <w:rFonts w:ascii="Times New Roman" w:hAnsi="Times New Roman"/>
          <w:sz w:val="24"/>
          <w:szCs w:val="24"/>
          <w:lang w:eastAsia="hr-HR"/>
        </w:rPr>
      </w:pPr>
      <w:r w:rsidRPr="00C45EE6">
        <w:rPr>
          <w:rFonts w:ascii="Times New Roman" w:hAnsi="Times New Roman"/>
          <w:sz w:val="24"/>
          <w:szCs w:val="24"/>
          <w:lang w:eastAsia="hr-HR"/>
        </w:rPr>
        <w:t>Članak 3.</w:t>
      </w:r>
    </w:p>
    <w:p w14:paraId="7508E58F"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715B86CC"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(1) Odluku o financijskoj korekciji i/ili privremenoj mjeri donosi čelnik Provedbenog tijela  na temelju provedenog postupka utvrđivanja nepravilnosti. </w:t>
      </w:r>
    </w:p>
    <w:p w14:paraId="5F4F3705"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7CFE9ED8"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(2) Odluku iz stavka 1. ovoga članka može donijeti i čelnik Tijela nadležnog za pojedinu komponentu/podkomponentu.</w:t>
      </w:r>
    </w:p>
    <w:p w14:paraId="4F20B11D"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34378E10"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5251BE33" w14:textId="77777777" w:rsidR="00C45EE6" w:rsidRPr="00C45EE6" w:rsidRDefault="00C45EE6" w:rsidP="00C45EE6">
      <w:pPr>
        <w:spacing w:after="0" w:line="240" w:lineRule="auto"/>
        <w:contextualSpacing/>
        <w:jc w:val="center"/>
        <w:rPr>
          <w:rFonts w:ascii="Times New Roman" w:hAnsi="Times New Roman"/>
          <w:b/>
          <w:i/>
          <w:sz w:val="24"/>
          <w:szCs w:val="24"/>
          <w:lang w:eastAsia="hr-HR"/>
        </w:rPr>
      </w:pPr>
      <w:r w:rsidRPr="00C45EE6">
        <w:rPr>
          <w:rFonts w:ascii="Times New Roman" w:hAnsi="Times New Roman"/>
          <w:b/>
          <w:i/>
          <w:sz w:val="24"/>
          <w:szCs w:val="24"/>
          <w:lang w:eastAsia="hr-HR"/>
        </w:rPr>
        <w:t xml:space="preserve">Postupak određivanja </w:t>
      </w:r>
      <w:r w:rsidRPr="00C45EE6">
        <w:rPr>
          <w:rFonts w:ascii="Times New Roman" w:hAnsi="Times New Roman"/>
          <w:b/>
          <w:i/>
          <w:iCs/>
          <w:sz w:val="24"/>
          <w:szCs w:val="24"/>
          <w:lang w:eastAsia="hr-HR"/>
        </w:rPr>
        <w:t>financijske korekcije</w:t>
      </w:r>
    </w:p>
    <w:p w14:paraId="24FA81D2" w14:textId="77777777" w:rsidR="00C45EE6" w:rsidRPr="00C45EE6" w:rsidRDefault="00C45EE6" w:rsidP="00C45EE6">
      <w:pPr>
        <w:spacing w:after="0" w:line="240" w:lineRule="auto"/>
        <w:contextualSpacing/>
        <w:jc w:val="center"/>
        <w:rPr>
          <w:rFonts w:ascii="Times New Roman" w:hAnsi="Times New Roman"/>
          <w:i/>
          <w:sz w:val="24"/>
          <w:szCs w:val="24"/>
          <w:lang w:eastAsia="hr-HR"/>
        </w:rPr>
      </w:pPr>
    </w:p>
    <w:p w14:paraId="39532038" w14:textId="77777777" w:rsidR="00C45EE6" w:rsidRPr="00C45EE6" w:rsidRDefault="00C45EE6" w:rsidP="00C45EE6">
      <w:pPr>
        <w:spacing w:after="0" w:line="240" w:lineRule="auto"/>
        <w:contextualSpacing/>
        <w:jc w:val="center"/>
        <w:rPr>
          <w:rFonts w:ascii="Times New Roman" w:hAnsi="Times New Roman"/>
          <w:sz w:val="24"/>
          <w:szCs w:val="24"/>
          <w:lang w:eastAsia="hr-HR"/>
        </w:rPr>
      </w:pPr>
      <w:r w:rsidRPr="00C45EE6">
        <w:rPr>
          <w:rFonts w:ascii="Times New Roman" w:hAnsi="Times New Roman"/>
          <w:sz w:val="24"/>
          <w:szCs w:val="24"/>
          <w:lang w:eastAsia="hr-HR"/>
        </w:rPr>
        <w:t>Članak 4.</w:t>
      </w:r>
    </w:p>
    <w:p w14:paraId="4507D065"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57D29A8A"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(1) Financijska korekcija određuje se u postupku utvrđivanja nepravilnosti, nakon što je nadležno tijelo utvrdilo nepravilnost.</w:t>
      </w:r>
    </w:p>
    <w:p w14:paraId="457F96E5"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4ACCA535"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(2) Postupak utvrđivanja nepravilnosti se može provoditi u razdoblju u kojem je korisnik obvezan osigurati trajnost projekta, u skladu s člankom 10. Općih uvjeta ugovora, odnosno u roku od 5 godina od završetka NPOO-a (primjenjuje se dulji rok). </w:t>
      </w:r>
    </w:p>
    <w:p w14:paraId="27EAD02D"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764113BA"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(3) Korisnik ovim putem prihvaća te razumije da je nadležno tijelo iz članka 3. ovih Pravila ovlašteno:</w:t>
      </w:r>
    </w:p>
    <w:p w14:paraId="399ECE6B"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1C619E7D" w14:textId="77777777" w:rsidR="00C45EE6" w:rsidRPr="00C45EE6" w:rsidRDefault="00C45EE6" w:rsidP="00C45EE6">
      <w:pPr>
        <w:numPr>
          <w:ilvl w:val="0"/>
          <w:numId w:val="9"/>
        </w:numPr>
        <w:spacing w:before="240" w:after="0" w:line="259"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donijeti odluku o nepravilnosti i odluku o financijskoj korekciji s obrazloženjem povrede na temelju utvrđenog činjeničnog stanja</w:t>
      </w:r>
    </w:p>
    <w:p w14:paraId="6809DD0D" w14:textId="77777777" w:rsidR="00C45EE6" w:rsidRPr="00C45EE6" w:rsidRDefault="00C45EE6" w:rsidP="00C45EE6">
      <w:pPr>
        <w:spacing w:after="0" w:line="259" w:lineRule="auto"/>
        <w:ind w:left="720"/>
        <w:contextualSpacing/>
        <w:jc w:val="both"/>
        <w:rPr>
          <w:rFonts w:ascii="Times New Roman" w:hAnsi="Times New Roman"/>
          <w:sz w:val="24"/>
          <w:szCs w:val="24"/>
          <w:lang w:eastAsia="hr-HR"/>
        </w:rPr>
      </w:pPr>
    </w:p>
    <w:p w14:paraId="5D722C0A" w14:textId="77777777" w:rsidR="00C45EE6" w:rsidRPr="00C45EE6" w:rsidRDefault="00C45EE6" w:rsidP="00C45EE6">
      <w:pPr>
        <w:numPr>
          <w:ilvl w:val="0"/>
          <w:numId w:val="9"/>
        </w:numPr>
        <w:spacing w:before="240" w:after="0" w:line="259"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donijeti odluku o nepravilnosti i odluku o financijskoj korekciji, ili izmijeniti i/ili dopuniti odluku o nepravilnosti i/ili odluku o financijskoj korekciji (smanjiti ili povećati iznos/stopu korekcije) u odnosu na nepravilnosti iz priloga 1, 2 i 3. ovih Pravila i to na osnovi nalaza tijela koja obavljaju naknadne kontrole iz stavka 9. ovog članka.</w:t>
      </w:r>
    </w:p>
    <w:p w14:paraId="00106031" w14:textId="77777777" w:rsidR="00C45EE6" w:rsidRPr="00C45EE6" w:rsidRDefault="00C45EE6" w:rsidP="00C45EE6">
      <w:pPr>
        <w:spacing w:after="0" w:line="259" w:lineRule="auto"/>
        <w:contextualSpacing/>
        <w:jc w:val="both"/>
        <w:rPr>
          <w:rFonts w:ascii="Times New Roman" w:hAnsi="Times New Roman"/>
          <w:sz w:val="24"/>
          <w:szCs w:val="24"/>
          <w:lang w:eastAsia="hr-HR"/>
        </w:rPr>
      </w:pPr>
    </w:p>
    <w:p w14:paraId="0F46E223"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Navedeno se ne odnosi na mogućnosti pokretanja odgovarajućih sudskih postupaka, u kojem slučaju se primjenjuju relevantni nacionalni propisi. </w:t>
      </w:r>
    </w:p>
    <w:p w14:paraId="2D5E243F"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0FA1499E"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(4) Nadležno tijelo zahtijeva od korisnika i/ili partnera i/ili tijela u sustavu upravljanja i praćenja provedbe aktivnosti NPOO-a da u određenom roku dostave relevantne informacije, dokumentaciju i očitovanja potrebna za odlučivanje o osnovanosti i visini financijske korekcije.</w:t>
      </w:r>
    </w:p>
    <w:p w14:paraId="3991F3A9"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2F3D7C41"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(5) Propust korisnika i/ili partnera dostaviti podatke iz stavka 4. ovoga članka, nadležno tijelo procjenjuje uzimajući u obzir sve okolnosti slučaja, a osobito podatke i dokumentaciju kojima raspolaže.</w:t>
      </w:r>
    </w:p>
    <w:p w14:paraId="64D485A1"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48175E49"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(6) Korisniku i/ili partneru se omogućava očitovanje u postupku određivanja financijske korekcije.</w:t>
      </w:r>
    </w:p>
    <w:p w14:paraId="4388E678"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75FE5C29"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lastRenderedPageBreak/>
        <w:t>(7) Nadležno tijelo o utvrđenoj nepravilnosti i/ili postupanju ili propuštanju postupanja za koje smatra da ima elemente prekršaja ili kaznenog djela obavještava nadležno pravosudno tijelo. U navedenom slučaju se može odrediti privremena mjera, u skladu s ovim Pravilima.</w:t>
      </w:r>
    </w:p>
    <w:p w14:paraId="3A22978B"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5C1C72B5"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(8) Pravomoćna osuđujuća presuda u kaznenom postupku na temelju koje je utvrđeno da je kazneno djelo povezano s projektom (uključujući i razloge navedene u članku 26. Općih uvjeta ugovora) je razlog za obvezni raskid ugovora o dodjeli bespovratnih sredstava i povrat cjelokupnog iznosa bespovratnih sredstava primljenog po osnovi navedenog ugovora.</w:t>
      </w:r>
    </w:p>
    <w:p w14:paraId="4A6960F8" w14:textId="77777777" w:rsidR="00C45EE6" w:rsidRPr="00C45EE6" w:rsidRDefault="00C45EE6" w:rsidP="00C45EE6">
      <w:pPr>
        <w:spacing w:after="0" w:line="240" w:lineRule="auto"/>
        <w:ind w:left="2832"/>
        <w:contextualSpacing/>
        <w:jc w:val="both"/>
        <w:rPr>
          <w:rFonts w:ascii="Times New Roman" w:hAnsi="Times New Roman"/>
          <w:b/>
          <w:i/>
          <w:sz w:val="24"/>
          <w:szCs w:val="24"/>
          <w:lang w:eastAsia="hr-HR"/>
        </w:rPr>
      </w:pPr>
    </w:p>
    <w:p w14:paraId="47B9F46B" w14:textId="77777777" w:rsidR="00C45EE6" w:rsidRPr="00C45EE6" w:rsidRDefault="00C45EE6" w:rsidP="00C45EE6">
      <w:pPr>
        <w:spacing w:after="0" w:line="240" w:lineRule="auto"/>
        <w:ind w:left="2832"/>
        <w:contextualSpacing/>
        <w:jc w:val="both"/>
        <w:rPr>
          <w:rFonts w:ascii="Times New Roman" w:hAnsi="Times New Roman"/>
          <w:b/>
          <w:i/>
          <w:sz w:val="24"/>
          <w:szCs w:val="24"/>
          <w:lang w:eastAsia="hr-HR"/>
        </w:rPr>
      </w:pPr>
    </w:p>
    <w:p w14:paraId="43E27D0B" w14:textId="77777777" w:rsidR="00C45EE6" w:rsidRPr="00C45EE6" w:rsidRDefault="00C45EE6" w:rsidP="00C45EE6">
      <w:pPr>
        <w:spacing w:after="0" w:line="240" w:lineRule="auto"/>
        <w:ind w:left="2832"/>
        <w:contextualSpacing/>
        <w:jc w:val="both"/>
        <w:rPr>
          <w:rFonts w:ascii="Times New Roman" w:hAnsi="Times New Roman"/>
          <w:b/>
          <w:i/>
          <w:sz w:val="24"/>
          <w:szCs w:val="24"/>
          <w:lang w:eastAsia="hr-HR"/>
        </w:rPr>
      </w:pPr>
      <w:r w:rsidRPr="00C45EE6">
        <w:rPr>
          <w:rFonts w:ascii="Times New Roman" w:hAnsi="Times New Roman"/>
          <w:b/>
          <w:i/>
          <w:sz w:val="24"/>
          <w:szCs w:val="24"/>
          <w:lang w:eastAsia="hr-HR"/>
        </w:rPr>
        <w:t xml:space="preserve">   Odluka o financijskoj korekciji</w:t>
      </w:r>
    </w:p>
    <w:p w14:paraId="62E3F678"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5E7353E0" w14:textId="77777777" w:rsidR="00C45EE6" w:rsidRPr="00C45EE6" w:rsidRDefault="00C45EE6" w:rsidP="00C45EE6">
      <w:pPr>
        <w:spacing w:after="0" w:line="240" w:lineRule="auto"/>
        <w:ind w:left="3540" w:firstLine="708"/>
        <w:contextualSpacing/>
        <w:jc w:val="both"/>
        <w:rPr>
          <w:rFonts w:ascii="Times New Roman" w:hAnsi="Times New Roman"/>
          <w:sz w:val="24"/>
          <w:szCs w:val="24"/>
          <w:lang w:eastAsia="hr-HR"/>
        </w:rPr>
      </w:pPr>
      <w:r w:rsidRPr="00C45EE6">
        <w:rPr>
          <w:rFonts w:ascii="Times New Roman" w:hAnsi="Times New Roman"/>
          <w:sz w:val="24"/>
          <w:szCs w:val="24"/>
          <w:lang w:eastAsia="hr-HR"/>
        </w:rPr>
        <w:t>Članak 5.</w:t>
      </w:r>
    </w:p>
    <w:p w14:paraId="0965A300" w14:textId="77777777" w:rsidR="00C45EE6" w:rsidRPr="00C45EE6" w:rsidRDefault="00C45EE6" w:rsidP="00C45EE6">
      <w:pPr>
        <w:spacing w:after="0" w:line="240" w:lineRule="auto"/>
        <w:contextualSpacing/>
        <w:jc w:val="both"/>
        <w:rPr>
          <w:rFonts w:ascii="Times New Roman" w:hAnsi="Times New Roman"/>
          <w:sz w:val="20"/>
          <w:szCs w:val="20"/>
          <w:lang w:eastAsia="hr-HR"/>
        </w:rPr>
      </w:pPr>
    </w:p>
    <w:p w14:paraId="1B2AFCB0"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(1) Odluka o financijskoj korekciji je odluka čelnika nadležnog tijela.</w:t>
      </w:r>
    </w:p>
    <w:p w14:paraId="5B2C9C91"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597F3C18"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 xml:space="preserve">(2) Odluka o financijskoj korekciji je sastavni dio odluke o utvrđenoj nepravilnosti, a može se donijeti i kao zasebna odluka te sadrži: </w:t>
      </w:r>
    </w:p>
    <w:p w14:paraId="01314142" w14:textId="77777777" w:rsidR="00C45EE6" w:rsidRPr="00C45EE6" w:rsidRDefault="00C45EE6" w:rsidP="00C45EE6">
      <w:pPr>
        <w:spacing w:after="0" w:line="240" w:lineRule="auto"/>
        <w:jc w:val="both"/>
        <w:rPr>
          <w:rFonts w:ascii="Times New Roman" w:eastAsia="Calibri" w:hAnsi="Times New Roman"/>
          <w:sz w:val="24"/>
          <w:szCs w:val="24"/>
        </w:rPr>
      </w:pPr>
    </w:p>
    <w:p w14:paraId="59A140F7"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 opis i oznaku nepravilnosti u odnosu na koju se financijska korekcija određuje</w:t>
      </w:r>
    </w:p>
    <w:p w14:paraId="1A462238"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 xml:space="preserve"> </w:t>
      </w:r>
    </w:p>
    <w:p w14:paraId="0F9B7F29"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 naznaku visine financijske korekcije</w:t>
      </w:r>
    </w:p>
    <w:p w14:paraId="5B69FFF1" w14:textId="77777777" w:rsidR="00C45EE6" w:rsidRPr="00C45EE6" w:rsidRDefault="00C45EE6" w:rsidP="00C45EE6">
      <w:pPr>
        <w:spacing w:after="0" w:line="240" w:lineRule="auto"/>
        <w:jc w:val="both"/>
        <w:rPr>
          <w:rFonts w:ascii="Times New Roman" w:eastAsia="Calibri" w:hAnsi="Times New Roman"/>
          <w:sz w:val="24"/>
          <w:szCs w:val="24"/>
        </w:rPr>
      </w:pPr>
    </w:p>
    <w:p w14:paraId="0C8C954C"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 obrazloženje</w:t>
      </w:r>
    </w:p>
    <w:p w14:paraId="084848CC" w14:textId="77777777" w:rsidR="00C45EE6" w:rsidRPr="00C45EE6" w:rsidRDefault="00C45EE6" w:rsidP="00C45EE6">
      <w:pPr>
        <w:spacing w:after="0" w:line="240" w:lineRule="auto"/>
        <w:jc w:val="both"/>
        <w:rPr>
          <w:rFonts w:ascii="Times New Roman" w:eastAsia="Calibri" w:hAnsi="Times New Roman"/>
          <w:sz w:val="24"/>
          <w:szCs w:val="24"/>
        </w:rPr>
      </w:pPr>
    </w:p>
    <w:p w14:paraId="581D78D3"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 uputu o pravnom lijeku.</w:t>
      </w:r>
    </w:p>
    <w:p w14:paraId="7DB111C3" w14:textId="77777777" w:rsidR="00C45EE6" w:rsidRPr="00C45EE6" w:rsidRDefault="00C45EE6" w:rsidP="00C45EE6">
      <w:pPr>
        <w:spacing w:after="0" w:line="240" w:lineRule="auto"/>
        <w:jc w:val="both"/>
        <w:rPr>
          <w:rFonts w:ascii="Times New Roman" w:eastAsia="Calibri" w:hAnsi="Times New Roman"/>
          <w:sz w:val="24"/>
          <w:szCs w:val="24"/>
        </w:rPr>
      </w:pPr>
    </w:p>
    <w:p w14:paraId="0D036140" w14:textId="77777777" w:rsidR="00C45EE6" w:rsidRPr="00C45EE6" w:rsidRDefault="00C45EE6" w:rsidP="00C45EE6">
      <w:pPr>
        <w:spacing w:after="0" w:line="240" w:lineRule="auto"/>
        <w:jc w:val="both"/>
        <w:rPr>
          <w:rFonts w:ascii="Times New Roman" w:eastAsia="Calibri" w:hAnsi="Times New Roman"/>
          <w:sz w:val="20"/>
          <w:szCs w:val="20"/>
        </w:rPr>
      </w:pPr>
    </w:p>
    <w:p w14:paraId="793A2EBA" w14:textId="77777777" w:rsidR="00C45EE6" w:rsidRPr="00C45EE6" w:rsidRDefault="00C45EE6" w:rsidP="00C45EE6">
      <w:pPr>
        <w:spacing w:after="0" w:line="240" w:lineRule="auto"/>
        <w:ind w:left="1416" w:firstLine="708"/>
        <w:jc w:val="both"/>
        <w:rPr>
          <w:rFonts w:ascii="Times New Roman" w:eastAsia="Calibri" w:hAnsi="Times New Roman"/>
          <w:b/>
          <w:i/>
          <w:sz w:val="24"/>
          <w:szCs w:val="24"/>
        </w:rPr>
      </w:pPr>
    </w:p>
    <w:p w14:paraId="481F8344" w14:textId="77777777" w:rsidR="00C45EE6" w:rsidRPr="00C45EE6" w:rsidRDefault="00C45EE6" w:rsidP="00C45EE6">
      <w:pPr>
        <w:spacing w:after="0" w:line="240" w:lineRule="auto"/>
        <w:ind w:left="1416" w:firstLine="708"/>
        <w:jc w:val="both"/>
        <w:rPr>
          <w:rFonts w:ascii="Times New Roman" w:eastAsia="Calibri" w:hAnsi="Times New Roman"/>
          <w:b/>
          <w:i/>
          <w:sz w:val="24"/>
          <w:szCs w:val="24"/>
        </w:rPr>
      </w:pPr>
      <w:r w:rsidRPr="00C45EE6">
        <w:rPr>
          <w:rFonts w:ascii="Times New Roman" w:eastAsia="Calibri" w:hAnsi="Times New Roman"/>
          <w:b/>
          <w:i/>
          <w:sz w:val="24"/>
          <w:szCs w:val="24"/>
        </w:rPr>
        <w:t>Vrste financijskih korekcija i način izvršenja</w:t>
      </w:r>
    </w:p>
    <w:p w14:paraId="7BFB9E8B" w14:textId="77777777" w:rsidR="00C45EE6" w:rsidRPr="00C45EE6" w:rsidRDefault="00C45EE6" w:rsidP="00C45EE6">
      <w:pPr>
        <w:spacing w:after="0" w:line="240" w:lineRule="auto"/>
        <w:jc w:val="both"/>
        <w:rPr>
          <w:rFonts w:ascii="Times New Roman" w:eastAsia="Calibri" w:hAnsi="Times New Roman"/>
          <w:i/>
          <w:sz w:val="24"/>
          <w:szCs w:val="24"/>
        </w:rPr>
      </w:pPr>
    </w:p>
    <w:p w14:paraId="7EFE2856" w14:textId="77777777" w:rsidR="00C45EE6" w:rsidRPr="00C45EE6" w:rsidRDefault="00C45EE6" w:rsidP="00C45EE6">
      <w:pPr>
        <w:spacing w:after="0" w:line="240" w:lineRule="auto"/>
        <w:ind w:left="3540"/>
        <w:jc w:val="both"/>
        <w:rPr>
          <w:rFonts w:ascii="Times New Roman" w:eastAsia="Calibri" w:hAnsi="Times New Roman"/>
          <w:sz w:val="24"/>
          <w:szCs w:val="24"/>
        </w:rPr>
      </w:pPr>
      <w:r w:rsidRPr="00C45EE6">
        <w:rPr>
          <w:rFonts w:ascii="Times New Roman" w:eastAsia="Calibri" w:hAnsi="Times New Roman"/>
          <w:sz w:val="24"/>
          <w:szCs w:val="24"/>
        </w:rPr>
        <w:t xml:space="preserve">     Članak 6.</w:t>
      </w:r>
    </w:p>
    <w:p w14:paraId="775E7688" w14:textId="77777777" w:rsidR="00C45EE6" w:rsidRPr="00C45EE6" w:rsidRDefault="00C45EE6" w:rsidP="00C45EE6">
      <w:pPr>
        <w:spacing w:after="0" w:line="240" w:lineRule="auto"/>
        <w:ind w:left="3540"/>
        <w:jc w:val="both"/>
        <w:rPr>
          <w:rFonts w:ascii="Times New Roman" w:eastAsia="Calibri" w:hAnsi="Times New Roman"/>
          <w:sz w:val="24"/>
          <w:szCs w:val="24"/>
        </w:rPr>
      </w:pPr>
    </w:p>
    <w:p w14:paraId="7DF63304" w14:textId="77777777" w:rsidR="00C45EE6" w:rsidRPr="00C45EE6" w:rsidRDefault="00C45EE6" w:rsidP="00C45EE6">
      <w:pPr>
        <w:spacing w:before="240" w:after="0" w:line="240" w:lineRule="auto"/>
        <w:jc w:val="both"/>
        <w:rPr>
          <w:rFonts w:ascii="Times New Roman" w:eastAsia="Calibri" w:hAnsi="Times New Roman"/>
          <w:sz w:val="24"/>
          <w:szCs w:val="24"/>
        </w:rPr>
      </w:pPr>
      <w:r w:rsidRPr="00C45EE6">
        <w:rPr>
          <w:rFonts w:ascii="Times New Roman" w:eastAsia="Calibri" w:hAnsi="Times New Roman"/>
          <w:sz w:val="24"/>
          <w:szCs w:val="24"/>
        </w:rPr>
        <w:t>(1) Vrste financijskih korekcija su sljedeće:</w:t>
      </w:r>
    </w:p>
    <w:p w14:paraId="69102B25"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2C540CAD"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1. </w:t>
      </w:r>
      <w:r w:rsidRPr="00C45EE6">
        <w:rPr>
          <w:rFonts w:ascii="Times New Roman" w:hAnsi="Times New Roman"/>
          <w:i/>
          <w:sz w:val="24"/>
          <w:szCs w:val="24"/>
          <w:lang w:eastAsia="hr-HR"/>
        </w:rPr>
        <w:t>Jednostavna financijska korekcija</w:t>
      </w:r>
      <w:r w:rsidRPr="00C45EE6">
        <w:rPr>
          <w:rFonts w:ascii="Times New Roman" w:hAnsi="Times New Roman"/>
          <w:sz w:val="24"/>
          <w:szCs w:val="24"/>
          <w:lang w:eastAsia="hr-HR"/>
        </w:rPr>
        <w:t xml:space="preserve"> označava financijsku korekciju koja je jednaka visini nastale financijske posljedice za ugovor o (javnoj) nabavi ili ugovor o dodjeli bespovratnih sredstava (ovisno o tome što je primjenjivo), kada je tu posljedicu moguće količinski točno odrediti.</w:t>
      </w:r>
    </w:p>
    <w:p w14:paraId="2F770158"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037B652A"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2. </w:t>
      </w:r>
      <w:r w:rsidRPr="00C45EE6">
        <w:rPr>
          <w:rFonts w:ascii="Times New Roman" w:hAnsi="Times New Roman"/>
          <w:i/>
          <w:sz w:val="24"/>
          <w:szCs w:val="24"/>
          <w:lang w:eastAsia="hr-HR"/>
        </w:rPr>
        <w:t>Paušalna financijska korekcija</w:t>
      </w:r>
      <w:r w:rsidRPr="00C45EE6">
        <w:rPr>
          <w:rFonts w:ascii="Times New Roman" w:hAnsi="Times New Roman"/>
          <w:sz w:val="24"/>
          <w:szCs w:val="24"/>
          <w:lang w:eastAsia="hr-HR"/>
        </w:rPr>
        <w:t xml:space="preserve"> označava stopu korekcije koja se primjenjuje kada nije moguće količinski točno odrediti financijske posljedice za ugovor o (javnoj) nabavi ili ugovor o dodjeli bespovratnih sredstava (ovisno o tome što je primjenjivo).</w:t>
      </w:r>
    </w:p>
    <w:p w14:paraId="2FE4A7B8" w14:textId="77777777" w:rsidR="00C45EE6" w:rsidRPr="00C45EE6" w:rsidRDefault="00C45EE6" w:rsidP="00C45EE6">
      <w:pPr>
        <w:spacing w:after="0" w:line="240" w:lineRule="auto"/>
        <w:jc w:val="both"/>
        <w:rPr>
          <w:rFonts w:ascii="Times New Roman" w:eastAsia="Calibri" w:hAnsi="Times New Roman"/>
          <w:sz w:val="24"/>
          <w:szCs w:val="24"/>
        </w:rPr>
      </w:pPr>
    </w:p>
    <w:p w14:paraId="7202FECE"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 xml:space="preserve">(2) Povrat iznosa koji odgovara udjelu bespovratnih sredstava u troškovima koji su proglašeni neprihvatljivima uslijed utvrđene nepravilnosti i određene financijske korekcije obavlja se </w:t>
      </w:r>
      <w:r w:rsidRPr="00C45EE6">
        <w:rPr>
          <w:rFonts w:ascii="Times New Roman" w:eastAsia="Calibri" w:hAnsi="Times New Roman"/>
          <w:sz w:val="24"/>
          <w:szCs w:val="24"/>
        </w:rPr>
        <w:lastRenderedPageBreak/>
        <w:t>izborom između dviju metoda ili primjenom metode koja je s obzirom na okolnosti primjenjiva i moguća:</w:t>
      </w:r>
    </w:p>
    <w:p w14:paraId="77F6112E"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1. umanjenje navedenog iznosa slijedom odobrenih prihvatljivih troškova u sljedećim zahtjevima za nadoknadu sredstava, do potpune naplate financijske korekcije (metoda prijeboja)</w:t>
      </w:r>
    </w:p>
    <w:p w14:paraId="35FE04BA" w14:textId="77777777" w:rsidR="00C45EE6" w:rsidRPr="00C45EE6" w:rsidRDefault="00C45EE6" w:rsidP="00C45EE6">
      <w:pPr>
        <w:spacing w:after="0" w:line="240" w:lineRule="auto"/>
        <w:contextualSpacing/>
        <w:jc w:val="both"/>
        <w:rPr>
          <w:rFonts w:ascii="Times New Roman" w:hAnsi="Times New Roman"/>
          <w:sz w:val="20"/>
          <w:szCs w:val="20"/>
          <w:lang w:eastAsia="hr-HR"/>
        </w:rPr>
      </w:pPr>
      <w:r w:rsidRPr="00C45EE6">
        <w:rPr>
          <w:rFonts w:ascii="Times New Roman" w:eastAsia="Calibri" w:hAnsi="Times New Roman"/>
          <w:sz w:val="24"/>
          <w:szCs w:val="24"/>
        </w:rPr>
        <w:t>2. nalog za povrat navedenog iznosa, jednokratnom uplatom ili u obrocima, uz određivanje roka i utvrđivanje ostalih podataka potrebnih za izvršenje uplate (metoda uplate).</w:t>
      </w:r>
    </w:p>
    <w:p w14:paraId="6D082683" w14:textId="77777777" w:rsidR="00C45EE6" w:rsidRPr="00C45EE6" w:rsidRDefault="00C45EE6" w:rsidP="00C45EE6">
      <w:pPr>
        <w:spacing w:after="0" w:line="240" w:lineRule="auto"/>
        <w:jc w:val="both"/>
        <w:rPr>
          <w:rFonts w:ascii="Times New Roman" w:eastAsia="Calibri" w:hAnsi="Times New Roman"/>
          <w:sz w:val="24"/>
          <w:szCs w:val="24"/>
        </w:rPr>
      </w:pPr>
      <w:r w:rsidRPr="00C45EE6">
        <w:rPr>
          <w:rFonts w:ascii="Times New Roman" w:eastAsia="Calibri" w:hAnsi="Times New Roman"/>
          <w:sz w:val="24"/>
          <w:szCs w:val="24"/>
        </w:rPr>
        <w:t>(3) U slučaju neefikasne naplate potraživanja po metodi koju je određena u smislu stavka 2. ovoga članka, može se izmijeniti metoda naplate financijske korekcije.</w:t>
      </w:r>
    </w:p>
    <w:p w14:paraId="6CBA72B6" w14:textId="77777777" w:rsidR="00C45EE6" w:rsidRPr="00C45EE6" w:rsidRDefault="00C45EE6" w:rsidP="00C45EE6">
      <w:pPr>
        <w:spacing w:after="0" w:line="240" w:lineRule="auto"/>
        <w:jc w:val="both"/>
        <w:rPr>
          <w:rFonts w:ascii="Times New Roman" w:eastAsia="Calibri" w:hAnsi="Times New Roman"/>
          <w:sz w:val="24"/>
          <w:szCs w:val="24"/>
        </w:rPr>
      </w:pPr>
    </w:p>
    <w:p w14:paraId="47CFAB86" w14:textId="77777777" w:rsidR="00C45EE6" w:rsidRPr="00C45EE6" w:rsidRDefault="00C45EE6" w:rsidP="00C45EE6">
      <w:pPr>
        <w:spacing w:after="0" w:line="240" w:lineRule="auto"/>
        <w:contextualSpacing/>
        <w:jc w:val="both"/>
        <w:rPr>
          <w:rFonts w:ascii="Times New Roman" w:hAnsi="Times New Roman"/>
          <w:sz w:val="20"/>
          <w:szCs w:val="20"/>
          <w:lang w:eastAsia="hr-HR"/>
        </w:rPr>
      </w:pPr>
    </w:p>
    <w:p w14:paraId="04F413D1" w14:textId="77777777" w:rsidR="00C45EE6" w:rsidRPr="00C45EE6" w:rsidRDefault="00C45EE6" w:rsidP="00C45EE6">
      <w:pPr>
        <w:spacing w:after="0" w:line="240" w:lineRule="auto"/>
        <w:contextualSpacing/>
        <w:jc w:val="both"/>
        <w:rPr>
          <w:rFonts w:ascii="Times New Roman" w:hAnsi="Times New Roman"/>
          <w:sz w:val="20"/>
          <w:szCs w:val="20"/>
          <w:lang w:eastAsia="hr-HR"/>
        </w:rPr>
      </w:pPr>
    </w:p>
    <w:p w14:paraId="22A8EE21" w14:textId="77777777" w:rsidR="00C45EE6" w:rsidRPr="00C45EE6" w:rsidRDefault="00C45EE6" w:rsidP="00C45EE6">
      <w:pPr>
        <w:spacing w:after="0" w:line="240" w:lineRule="auto"/>
        <w:ind w:left="2832"/>
        <w:contextualSpacing/>
        <w:jc w:val="both"/>
        <w:rPr>
          <w:rFonts w:ascii="Times New Roman" w:hAnsi="Times New Roman"/>
          <w:b/>
          <w:i/>
          <w:sz w:val="24"/>
          <w:szCs w:val="24"/>
          <w:lang w:eastAsia="hr-HR"/>
        </w:rPr>
      </w:pPr>
      <w:r w:rsidRPr="00C45EE6">
        <w:rPr>
          <w:rFonts w:ascii="Times New Roman" w:hAnsi="Times New Roman"/>
          <w:b/>
          <w:sz w:val="24"/>
          <w:szCs w:val="24"/>
          <w:lang w:eastAsia="hr-HR"/>
        </w:rPr>
        <w:t xml:space="preserve">  </w:t>
      </w:r>
      <w:r w:rsidRPr="00C45EE6">
        <w:rPr>
          <w:rFonts w:ascii="Times New Roman" w:hAnsi="Times New Roman"/>
          <w:b/>
          <w:i/>
          <w:sz w:val="24"/>
          <w:szCs w:val="24"/>
          <w:lang w:eastAsia="hr-HR"/>
        </w:rPr>
        <w:t>Visina financijske korekcije</w:t>
      </w:r>
    </w:p>
    <w:p w14:paraId="45C41A1E"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0F2AB83C" w14:textId="77777777" w:rsidR="00C45EE6" w:rsidRPr="00C45EE6" w:rsidRDefault="00C45EE6" w:rsidP="00C45EE6">
      <w:pPr>
        <w:spacing w:after="0" w:line="240" w:lineRule="auto"/>
        <w:ind w:left="3540"/>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       Članak 7.</w:t>
      </w:r>
    </w:p>
    <w:p w14:paraId="74EA8646"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642E1946"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(1) Financijska korekcija se određuje kao jednostavna financijska korekcija.</w:t>
      </w:r>
    </w:p>
    <w:p w14:paraId="578C775B"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42CBD199"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(2) Ako određivanje jednostavne financijske korekcije nije moguće ili je povezano s nerazmjernim troškovima i poteškoćama, nadležno tijelo određuje financijsku korekciju u paušalnom iznosu. </w:t>
      </w:r>
    </w:p>
    <w:p w14:paraId="2034B7DF"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217E9EF6"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(3) Nadležno tijelo određuje financijsku korekciju u paušalnom iznosu primjenom Priloga 1. „Nepravilnosti u kojima se određuje financijska korekcija – obveznici Zakona o javnoj nabavi“ ,Priloga 2 „Nepravilnosti u kojima se određuje financijska korekcija – nabava koju provode neobveznici Zakona o javnoj nabavi“ i Priloga 3 Nepravilnosti u kojima se određuje financijska korekcija – Nepravilnosti izuzev nepravilnosti u postupcima (javnih) nabava, koji čine sastavni dio ovih Pravila (u daljnjem tekstu: Prilog 1, Prilog 2 i Prilog 3).</w:t>
      </w:r>
    </w:p>
    <w:p w14:paraId="11A4F8A5"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00E38B0A"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(4) Vrste nepravilnosti opisane u Prilogu 1,  Prilogu 2 i Prilogu 3 su najčešće vrste nepravilnosti. Ostale nepravilnosti, koje nisu navedene u tim Prilozima utvrđuju se te se financijske korekcije određuju na temelju opisa nepravilnosti koji u velikom dijelu odgovara opisu nepravilnosti iz  navedenih Priloga, na način da se za obveznike Zakona o javnoj nabavi kao referentan uzima Prilog 1, za neobveznike Zakona o javnoj nabavi Prilog 2, a u odnosu na nepravilnosti izuzev nepravilnosti u postupcima (javnih) nabava -  Prilog 3, primjenjujući pri tome i načelo proporcionalnosti.</w:t>
      </w:r>
    </w:p>
    <w:p w14:paraId="3459C1D8"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726E52AF" w14:textId="77777777" w:rsidR="00C45EE6" w:rsidRPr="00C45EE6" w:rsidRDefault="00C45EE6" w:rsidP="00C45EE6">
      <w:pPr>
        <w:spacing w:after="0" w:line="240" w:lineRule="auto"/>
        <w:jc w:val="both"/>
        <w:rPr>
          <w:rFonts w:ascii="Times New Roman" w:hAnsi="Times New Roman"/>
          <w:sz w:val="24"/>
          <w:szCs w:val="24"/>
          <w:lang w:eastAsia="hr-HR"/>
        </w:rPr>
      </w:pPr>
      <w:r w:rsidRPr="00C45EE6">
        <w:rPr>
          <w:rFonts w:ascii="Times New Roman" w:hAnsi="Times New Roman"/>
          <w:sz w:val="24"/>
          <w:szCs w:val="24"/>
          <w:lang w:eastAsia="hr-HR"/>
        </w:rPr>
        <w:t>(5) Prilikom određivanja paušalne financijske korekcije u skladu sa stavkom 4. ovoga članka, stopa paušalne financijske korekcije se određuje tako da se primijeni stopa financijske korekcije iz odgovarajućeg Priloga, kako je utvrđeno u prethodnom stavku.</w:t>
      </w:r>
    </w:p>
    <w:p w14:paraId="0D66F967" w14:textId="77777777" w:rsidR="00C45EE6" w:rsidRPr="00C45EE6" w:rsidRDefault="00C45EE6" w:rsidP="00C45EE6">
      <w:pPr>
        <w:spacing w:after="0" w:line="240" w:lineRule="auto"/>
        <w:jc w:val="both"/>
        <w:rPr>
          <w:rFonts w:ascii="Times New Roman" w:hAnsi="Times New Roman"/>
          <w:sz w:val="24"/>
          <w:szCs w:val="24"/>
          <w:lang w:eastAsia="hr-HR"/>
        </w:rPr>
      </w:pPr>
    </w:p>
    <w:p w14:paraId="427A9CFD" w14:textId="77777777" w:rsidR="00C45EE6" w:rsidRPr="00C45EE6" w:rsidRDefault="00C45EE6" w:rsidP="00C45EE6">
      <w:pPr>
        <w:spacing w:after="0" w:line="240" w:lineRule="auto"/>
        <w:jc w:val="both"/>
        <w:rPr>
          <w:rFonts w:ascii="Times New Roman" w:hAnsi="Times New Roman"/>
          <w:sz w:val="24"/>
          <w:szCs w:val="24"/>
          <w:lang w:eastAsia="hr-HR"/>
        </w:rPr>
      </w:pPr>
      <w:r w:rsidRPr="00C45EE6">
        <w:rPr>
          <w:rFonts w:ascii="Times New Roman" w:hAnsi="Times New Roman"/>
          <w:sz w:val="24"/>
          <w:szCs w:val="24"/>
          <w:lang w:eastAsia="hr-HR"/>
        </w:rPr>
        <w:t>(6) Ako nadležno tijelo opravdano smatra da okolnosti slučaja to opravdavaju, može donijeti odluku o smanjenju financijske korekcije, u slučajevima  (i na stopu) u kojima je to prema ovim Pravilima dozvoljeno. Navedene odluke moraju biti obrazložene.</w:t>
      </w:r>
    </w:p>
    <w:p w14:paraId="74E57511" w14:textId="77777777" w:rsidR="00C45EE6" w:rsidRPr="00C45EE6" w:rsidRDefault="00C45EE6" w:rsidP="00C45EE6">
      <w:pPr>
        <w:spacing w:after="0" w:line="240" w:lineRule="auto"/>
        <w:jc w:val="both"/>
        <w:rPr>
          <w:rFonts w:ascii="Times New Roman" w:hAnsi="Times New Roman"/>
          <w:sz w:val="24"/>
          <w:szCs w:val="24"/>
          <w:lang w:eastAsia="hr-HR"/>
        </w:rPr>
      </w:pPr>
    </w:p>
    <w:p w14:paraId="21C9013E" w14:textId="77777777" w:rsidR="00C45EE6" w:rsidRPr="00C45EE6" w:rsidRDefault="00C45EE6" w:rsidP="00C45EE6">
      <w:pPr>
        <w:spacing w:after="0" w:line="240" w:lineRule="auto"/>
        <w:jc w:val="both"/>
        <w:rPr>
          <w:rFonts w:ascii="Times New Roman" w:hAnsi="Times New Roman"/>
          <w:sz w:val="24"/>
          <w:szCs w:val="24"/>
          <w:lang w:eastAsia="hr-HR"/>
        </w:rPr>
      </w:pPr>
      <w:r w:rsidRPr="00C45EE6">
        <w:rPr>
          <w:rFonts w:ascii="Times New Roman" w:hAnsi="Times New Roman"/>
          <w:sz w:val="24"/>
          <w:szCs w:val="24"/>
          <w:lang w:eastAsia="hr-HR"/>
        </w:rPr>
        <w:t>(7) Ako se u odnosu na jedan postupak (javne) nabave, odnosno ugovor o dodjeli bespovratnih sredstva utvrde brojne nepravilnosti, stope financijskih korekcija nisu kumulativne, već se u svrhu određivanja visine (stope) financijske korekcije uzima najozbiljnija nepravilnost.</w:t>
      </w:r>
    </w:p>
    <w:p w14:paraId="374168F0" w14:textId="77777777" w:rsidR="00C45EE6" w:rsidRPr="00C45EE6" w:rsidRDefault="00C45EE6" w:rsidP="00C45EE6">
      <w:pPr>
        <w:spacing w:after="0" w:line="240" w:lineRule="auto"/>
        <w:jc w:val="both"/>
        <w:rPr>
          <w:rFonts w:ascii="Times New Roman" w:hAnsi="Times New Roman"/>
          <w:sz w:val="24"/>
          <w:szCs w:val="24"/>
          <w:lang w:eastAsia="hr-HR"/>
        </w:rPr>
      </w:pPr>
    </w:p>
    <w:p w14:paraId="6363889E" w14:textId="77777777" w:rsidR="00C45EE6" w:rsidRPr="00C45EE6" w:rsidRDefault="00C45EE6" w:rsidP="00C45EE6">
      <w:pPr>
        <w:spacing w:after="0" w:line="240" w:lineRule="auto"/>
        <w:jc w:val="both"/>
        <w:rPr>
          <w:rFonts w:ascii="Times New Roman" w:hAnsi="Times New Roman"/>
          <w:sz w:val="24"/>
          <w:szCs w:val="24"/>
          <w:lang w:eastAsia="hr-HR"/>
        </w:rPr>
      </w:pPr>
      <w:r w:rsidRPr="00C45EE6">
        <w:rPr>
          <w:rFonts w:ascii="Times New Roman" w:hAnsi="Times New Roman"/>
          <w:sz w:val="24"/>
          <w:szCs w:val="24"/>
          <w:lang w:eastAsia="hr-HR"/>
        </w:rPr>
        <w:t xml:space="preserve">(8) Prilikom određivanja paušalne financijske korekcije osobito se uzima u obzir postupanje prijavitelja i/ili partnera prijavitelja, odnosno korisnika i/ili partnera u odnosu na sljedeće stavke (primjerice): </w:t>
      </w:r>
    </w:p>
    <w:p w14:paraId="7C7CEF89" w14:textId="77777777" w:rsidR="00C45EE6" w:rsidRPr="00C45EE6" w:rsidRDefault="00C45EE6" w:rsidP="00C45EE6">
      <w:pPr>
        <w:spacing w:after="0" w:line="240" w:lineRule="auto"/>
        <w:jc w:val="both"/>
        <w:rPr>
          <w:rFonts w:ascii="Times New Roman" w:hAnsi="Times New Roman"/>
          <w:sz w:val="24"/>
          <w:szCs w:val="24"/>
          <w:lang w:eastAsia="hr-HR"/>
        </w:rPr>
      </w:pPr>
    </w:p>
    <w:p w14:paraId="5FFE4850" w14:textId="77777777" w:rsidR="00C45EE6" w:rsidRPr="00C45EE6" w:rsidRDefault="00C45EE6" w:rsidP="00C45EE6">
      <w:pPr>
        <w:numPr>
          <w:ilvl w:val="0"/>
          <w:numId w:val="3"/>
        </w:numPr>
        <w:spacing w:before="240" w:after="0" w:line="240" w:lineRule="auto"/>
        <w:ind w:left="567" w:hanging="357"/>
        <w:contextualSpacing/>
        <w:jc w:val="both"/>
        <w:rPr>
          <w:rFonts w:ascii="Times New Roman" w:hAnsi="Times New Roman"/>
          <w:sz w:val="24"/>
          <w:szCs w:val="24"/>
          <w:lang w:eastAsia="hr-HR"/>
        </w:rPr>
      </w:pPr>
      <w:r w:rsidRPr="00C45EE6">
        <w:rPr>
          <w:rFonts w:ascii="Times New Roman" w:hAnsi="Times New Roman"/>
          <w:sz w:val="24"/>
          <w:szCs w:val="24"/>
          <w:lang w:eastAsia="hr-HR"/>
        </w:rPr>
        <w:t>načelo transparentnosti, jednakog postupanja, nediskriminacije i razmjernosti, kako su opisani u pravilima javne nabave, odnosno u pravilima koje primjenjuju osobe koje nisu obveznici Zakona o javnoj nabavi,</w:t>
      </w:r>
    </w:p>
    <w:p w14:paraId="3929147B" w14:textId="77777777" w:rsidR="00C45EE6" w:rsidRPr="00C45EE6" w:rsidRDefault="00C45EE6" w:rsidP="00C45EE6">
      <w:pPr>
        <w:spacing w:after="0" w:line="240" w:lineRule="auto"/>
        <w:ind w:left="567"/>
        <w:contextualSpacing/>
        <w:jc w:val="both"/>
        <w:rPr>
          <w:rFonts w:ascii="Times New Roman" w:hAnsi="Times New Roman"/>
          <w:sz w:val="24"/>
          <w:szCs w:val="24"/>
          <w:lang w:eastAsia="hr-HR"/>
        </w:rPr>
      </w:pPr>
    </w:p>
    <w:p w14:paraId="78039057" w14:textId="77777777" w:rsidR="00C45EE6" w:rsidRPr="00C45EE6" w:rsidRDefault="00C45EE6" w:rsidP="00C45EE6">
      <w:pPr>
        <w:numPr>
          <w:ilvl w:val="0"/>
          <w:numId w:val="3"/>
        </w:numPr>
        <w:spacing w:before="240" w:after="0" w:line="240" w:lineRule="auto"/>
        <w:ind w:left="567" w:hanging="357"/>
        <w:contextualSpacing/>
        <w:jc w:val="both"/>
        <w:rPr>
          <w:rFonts w:ascii="Times New Roman" w:hAnsi="Times New Roman"/>
          <w:sz w:val="24"/>
          <w:szCs w:val="24"/>
          <w:lang w:eastAsia="hr-HR"/>
        </w:rPr>
      </w:pPr>
      <w:r w:rsidRPr="00C45EE6">
        <w:rPr>
          <w:rFonts w:ascii="Times New Roman" w:hAnsi="Times New Roman"/>
          <w:sz w:val="24"/>
          <w:szCs w:val="24"/>
          <w:lang w:eastAsia="hr-HR"/>
        </w:rPr>
        <w:t>prekogranični interes ugovora o (javnoj) nabavi,</w:t>
      </w:r>
    </w:p>
    <w:p w14:paraId="3BC55BC2" w14:textId="77777777" w:rsidR="00C45EE6" w:rsidRPr="00C45EE6" w:rsidRDefault="00C45EE6" w:rsidP="00C45EE6">
      <w:pPr>
        <w:spacing w:after="0" w:line="240" w:lineRule="auto"/>
        <w:jc w:val="both"/>
        <w:rPr>
          <w:rFonts w:ascii="Times New Roman" w:hAnsi="Times New Roman"/>
          <w:sz w:val="24"/>
          <w:szCs w:val="24"/>
          <w:lang w:eastAsia="hr-HR"/>
        </w:rPr>
      </w:pPr>
    </w:p>
    <w:p w14:paraId="1D5DE896" w14:textId="77777777" w:rsidR="00C45EE6" w:rsidRPr="00C45EE6" w:rsidRDefault="00C45EE6" w:rsidP="00C45EE6">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45EE6">
        <w:rPr>
          <w:rFonts w:ascii="Times New Roman" w:hAnsi="Times New Roman"/>
          <w:sz w:val="24"/>
          <w:szCs w:val="24"/>
          <w:lang w:eastAsia="hr-HR"/>
        </w:rPr>
        <w:t>ozbiljnost kršenja propisa u odnosu na stvarni i potencijalni financijski učinak na proračun iz kojeg se financira ugovor o dodjeli bespovratnih sredstava</w:t>
      </w:r>
    </w:p>
    <w:p w14:paraId="36B0846E" w14:textId="77777777" w:rsidR="00C45EE6" w:rsidRPr="00C45EE6" w:rsidRDefault="00C45EE6" w:rsidP="00C45EE6">
      <w:pPr>
        <w:tabs>
          <w:tab w:val="left" w:pos="2302"/>
        </w:tabs>
        <w:suppressAutoHyphens/>
        <w:snapToGrid w:val="0"/>
        <w:spacing w:after="0" w:line="240" w:lineRule="auto"/>
        <w:ind w:left="567"/>
        <w:jc w:val="both"/>
        <w:rPr>
          <w:rFonts w:ascii="Times New Roman" w:hAnsi="Times New Roman"/>
          <w:sz w:val="24"/>
          <w:szCs w:val="24"/>
          <w:lang w:eastAsia="hr-HR"/>
        </w:rPr>
      </w:pPr>
    </w:p>
    <w:p w14:paraId="2CD543CF" w14:textId="77777777" w:rsidR="00C45EE6" w:rsidRPr="00C45EE6" w:rsidRDefault="00C45EE6" w:rsidP="00C45EE6">
      <w:pPr>
        <w:numPr>
          <w:ilvl w:val="0"/>
          <w:numId w:val="3"/>
        </w:numPr>
        <w:spacing w:before="240" w:after="0" w:line="240" w:lineRule="auto"/>
        <w:ind w:left="567" w:hanging="357"/>
        <w:contextualSpacing/>
        <w:jc w:val="both"/>
        <w:rPr>
          <w:rFonts w:ascii="Times New Roman" w:hAnsi="Times New Roman"/>
          <w:sz w:val="24"/>
          <w:szCs w:val="24"/>
          <w:lang w:eastAsia="hr-HR"/>
        </w:rPr>
      </w:pPr>
      <w:r w:rsidRPr="00C45EE6">
        <w:rPr>
          <w:rFonts w:ascii="Times New Roman" w:hAnsi="Times New Roman"/>
          <w:sz w:val="24"/>
          <w:szCs w:val="24"/>
          <w:lang w:eastAsia="hr-HR"/>
        </w:rPr>
        <w:t>financijske posljedice na proračun iz kojeg se financira ugovor o dodjeli bespovratnih sredstava,</w:t>
      </w:r>
    </w:p>
    <w:p w14:paraId="0C97197E" w14:textId="77777777" w:rsidR="00C45EE6" w:rsidRPr="00C45EE6" w:rsidRDefault="00C45EE6" w:rsidP="00C45EE6">
      <w:pPr>
        <w:spacing w:after="0" w:line="240" w:lineRule="auto"/>
        <w:ind w:left="567"/>
        <w:contextualSpacing/>
        <w:jc w:val="both"/>
        <w:rPr>
          <w:rFonts w:ascii="Times New Roman" w:hAnsi="Times New Roman"/>
          <w:sz w:val="24"/>
          <w:szCs w:val="24"/>
          <w:lang w:eastAsia="hr-HR"/>
        </w:rPr>
      </w:pPr>
    </w:p>
    <w:p w14:paraId="1BB9C095" w14:textId="77777777" w:rsidR="00C45EE6" w:rsidRPr="00C45EE6" w:rsidRDefault="00C45EE6" w:rsidP="00C45EE6">
      <w:pPr>
        <w:numPr>
          <w:ilvl w:val="0"/>
          <w:numId w:val="3"/>
        </w:numPr>
        <w:spacing w:before="240" w:after="0" w:line="480" w:lineRule="auto"/>
        <w:ind w:left="567" w:hanging="357"/>
        <w:contextualSpacing/>
        <w:jc w:val="both"/>
        <w:rPr>
          <w:rFonts w:ascii="Times New Roman" w:hAnsi="Times New Roman"/>
          <w:sz w:val="24"/>
          <w:szCs w:val="24"/>
          <w:lang w:eastAsia="hr-HR"/>
        </w:rPr>
      </w:pPr>
      <w:r w:rsidRPr="00C45EE6">
        <w:rPr>
          <w:rFonts w:ascii="Times New Roman" w:hAnsi="Times New Roman"/>
          <w:sz w:val="24"/>
          <w:szCs w:val="24"/>
          <w:lang w:eastAsia="hr-HR"/>
        </w:rPr>
        <w:t>razina tržišnog natjecanja,</w:t>
      </w:r>
    </w:p>
    <w:p w14:paraId="401DC462" w14:textId="77777777" w:rsidR="00C45EE6" w:rsidRPr="00C45EE6" w:rsidRDefault="00C45EE6" w:rsidP="00C45EE6">
      <w:pPr>
        <w:numPr>
          <w:ilvl w:val="0"/>
          <w:numId w:val="3"/>
        </w:numPr>
        <w:spacing w:before="240" w:after="0" w:line="480" w:lineRule="auto"/>
        <w:ind w:left="567" w:hanging="357"/>
        <w:contextualSpacing/>
        <w:jc w:val="both"/>
        <w:rPr>
          <w:rFonts w:ascii="Times New Roman" w:hAnsi="Times New Roman"/>
          <w:sz w:val="24"/>
          <w:szCs w:val="24"/>
          <w:lang w:eastAsia="hr-HR"/>
        </w:rPr>
      </w:pPr>
      <w:r w:rsidRPr="00C45EE6">
        <w:rPr>
          <w:rFonts w:ascii="Times New Roman" w:hAnsi="Times New Roman"/>
          <w:sz w:val="24"/>
          <w:szCs w:val="24"/>
          <w:lang w:eastAsia="hr-HR"/>
        </w:rPr>
        <w:t>odvraćajući učinak na potencijalne ponuditelje u postupcima (javnih) nabava,</w:t>
      </w:r>
    </w:p>
    <w:p w14:paraId="5103BC8A" w14:textId="77777777" w:rsidR="00C45EE6" w:rsidRPr="00C45EE6" w:rsidRDefault="00C45EE6" w:rsidP="00C45EE6">
      <w:pPr>
        <w:numPr>
          <w:ilvl w:val="0"/>
          <w:numId w:val="3"/>
        </w:numPr>
        <w:spacing w:before="240"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značaj nepravilnošću zahvaćenog dijela ugovora o (javnoj) nabavi u odnosu na prirodu ugovora </w:t>
      </w:r>
    </w:p>
    <w:p w14:paraId="1764EB47" w14:textId="77777777" w:rsidR="00C45EE6" w:rsidRPr="00C45EE6" w:rsidRDefault="00C45EE6" w:rsidP="00C45EE6">
      <w:pPr>
        <w:numPr>
          <w:ilvl w:val="0"/>
          <w:numId w:val="3"/>
        </w:numPr>
        <w:spacing w:before="240"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udio nepravilnošću zahvaćenog dijela ugovora o (javnoj) nabavi u odnosu na ukupnu vrijednost istog,</w:t>
      </w:r>
    </w:p>
    <w:p w14:paraId="15A2C0E9" w14:textId="77777777" w:rsidR="00C45EE6" w:rsidRPr="00C45EE6" w:rsidRDefault="00C45EE6" w:rsidP="00C45EE6">
      <w:pPr>
        <w:spacing w:after="0" w:line="240" w:lineRule="auto"/>
        <w:ind w:left="785"/>
        <w:contextualSpacing/>
        <w:jc w:val="both"/>
        <w:rPr>
          <w:rFonts w:ascii="Times New Roman" w:hAnsi="Times New Roman"/>
          <w:sz w:val="24"/>
          <w:szCs w:val="24"/>
          <w:lang w:eastAsia="hr-HR"/>
        </w:rPr>
      </w:pPr>
    </w:p>
    <w:p w14:paraId="1FCF7460" w14:textId="77777777" w:rsidR="00C45EE6" w:rsidRPr="00C45EE6" w:rsidRDefault="00C45EE6" w:rsidP="00C45EE6">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45EE6">
        <w:rPr>
          <w:rFonts w:ascii="Times New Roman" w:hAnsi="Times New Roman"/>
          <w:sz w:val="24"/>
          <w:szCs w:val="24"/>
          <w:lang w:eastAsia="hr-HR"/>
        </w:rPr>
        <w:t>je li posljedica utvrđene nepravilnosti u postupcima (javne) nabave sklapanje pravnog posla s ponuditeljem, s kojim pravni posao inače ne bi bio sklopljen,</w:t>
      </w:r>
    </w:p>
    <w:p w14:paraId="74B05685" w14:textId="77777777" w:rsidR="00C45EE6" w:rsidRPr="00C45EE6" w:rsidRDefault="00C45EE6" w:rsidP="00C45EE6">
      <w:pPr>
        <w:tabs>
          <w:tab w:val="left" w:pos="2302"/>
        </w:tabs>
        <w:suppressAutoHyphens/>
        <w:snapToGrid w:val="0"/>
        <w:spacing w:after="0" w:line="240" w:lineRule="auto"/>
        <w:ind w:left="567"/>
        <w:jc w:val="both"/>
        <w:rPr>
          <w:rFonts w:ascii="Times New Roman" w:hAnsi="Times New Roman"/>
          <w:sz w:val="24"/>
          <w:szCs w:val="24"/>
          <w:lang w:eastAsia="hr-HR"/>
        </w:rPr>
      </w:pPr>
    </w:p>
    <w:p w14:paraId="2BF42FBE" w14:textId="77777777" w:rsidR="00C45EE6" w:rsidRPr="00C45EE6" w:rsidRDefault="00C45EE6" w:rsidP="00C45EE6">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45EE6">
        <w:rPr>
          <w:rFonts w:ascii="Times New Roman" w:hAnsi="Times New Roman"/>
          <w:sz w:val="24"/>
          <w:szCs w:val="24"/>
          <w:lang w:eastAsia="hr-HR"/>
        </w:rPr>
        <w:t>posljedice nepravilnosti tj. činjenica bi li ishod projekta bio isti da nepravilnosti nije bilo,</w:t>
      </w:r>
    </w:p>
    <w:p w14:paraId="51D85694" w14:textId="77777777" w:rsidR="00C45EE6" w:rsidRPr="00C45EE6" w:rsidRDefault="00C45EE6" w:rsidP="00C45EE6">
      <w:pPr>
        <w:tabs>
          <w:tab w:val="left" w:pos="2302"/>
        </w:tabs>
        <w:suppressAutoHyphens/>
        <w:snapToGrid w:val="0"/>
        <w:spacing w:after="0" w:line="240" w:lineRule="auto"/>
        <w:jc w:val="both"/>
        <w:rPr>
          <w:rFonts w:ascii="Times New Roman" w:hAnsi="Times New Roman"/>
          <w:sz w:val="24"/>
          <w:szCs w:val="24"/>
          <w:lang w:eastAsia="hr-HR"/>
        </w:rPr>
      </w:pPr>
    </w:p>
    <w:p w14:paraId="737E3B56" w14:textId="77777777" w:rsidR="00C45EE6" w:rsidRPr="00C45EE6" w:rsidRDefault="00C45EE6" w:rsidP="00C45EE6">
      <w:pPr>
        <w:numPr>
          <w:ilvl w:val="0"/>
          <w:numId w:val="3"/>
        </w:numPr>
        <w:spacing w:before="240" w:after="0" w:line="240" w:lineRule="auto"/>
        <w:ind w:left="567" w:hanging="357"/>
        <w:contextualSpacing/>
        <w:jc w:val="both"/>
        <w:rPr>
          <w:rFonts w:ascii="Times New Roman" w:hAnsi="Times New Roman"/>
          <w:sz w:val="24"/>
          <w:szCs w:val="24"/>
          <w:lang w:eastAsia="hr-HR"/>
        </w:rPr>
      </w:pPr>
      <w:r w:rsidRPr="00C45EE6">
        <w:rPr>
          <w:rFonts w:ascii="Times New Roman" w:hAnsi="Times New Roman"/>
          <w:sz w:val="24"/>
          <w:szCs w:val="24"/>
          <w:lang w:eastAsia="hr-HR"/>
        </w:rPr>
        <w:t>ostale okolnosti konkretnog slučaja, od utjecaja na cjelokupni postupak dodjele bespovratnih sredstava i postupak izvršavanja ugovornih obveza, koje nadležno utvrđuje i obrazlaže.</w:t>
      </w:r>
    </w:p>
    <w:p w14:paraId="4CB74EB3"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2F52F7A1"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(9) 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 Radi se o iznosu prihvatljivih troškova projekta/ugovora o nabavi/dijela ugovora o nabavi (ovisno što je primjenjivo), a koji se prijavljuju Komisiji.</w:t>
      </w:r>
    </w:p>
    <w:p w14:paraId="1CF2A3B9"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237FA795" w14:textId="01EB626F" w:rsidR="00C45EE6" w:rsidRDefault="00C45EE6" w:rsidP="00C45EE6">
      <w:pPr>
        <w:spacing w:after="0" w:line="240" w:lineRule="auto"/>
        <w:contextualSpacing/>
        <w:jc w:val="both"/>
        <w:rPr>
          <w:rFonts w:ascii="Times New Roman" w:hAnsi="Times New Roman"/>
          <w:sz w:val="24"/>
          <w:szCs w:val="24"/>
          <w:lang w:eastAsia="hr-HR"/>
        </w:rPr>
      </w:pPr>
    </w:p>
    <w:p w14:paraId="3E2BE0D1" w14:textId="77777777" w:rsidR="00080C31" w:rsidRPr="00C45EE6" w:rsidRDefault="00080C31" w:rsidP="00C45EE6">
      <w:pPr>
        <w:spacing w:after="0" w:line="240" w:lineRule="auto"/>
        <w:contextualSpacing/>
        <w:jc w:val="both"/>
        <w:rPr>
          <w:rFonts w:ascii="Times New Roman" w:hAnsi="Times New Roman"/>
          <w:sz w:val="24"/>
          <w:szCs w:val="24"/>
          <w:lang w:eastAsia="hr-HR"/>
        </w:rPr>
      </w:pPr>
    </w:p>
    <w:p w14:paraId="734CBB85" w14:textId="77777777" w:rsidR="00C45EE6" w:rsidRPr="00C45EE6" w:rsidRDefault="00C45EE6" w:rsidP="00C45EE6">
      <w:pPr>
        <w:spacing w:after="0" w:line="240" w:lineRule="auto"/>
        <w:ind w:left="2124" w:firstLine="708"/>
        <w:contextualSpacing/>
        <w:jc w:val="both"/>
        <w:rPr>
          <w:rFonts w:ascii="Times New Roman" w:hAnsi="Times New Roman"/>
          <w:b/>
          <w:i/>
          <w:sz w:val="24"/>
          <w:szCs w:val="24"/>
          <w:lang w:eastAsia="hr-HR"/>
        </w:rPr>
      </w:pPr>
    </w:p>
    <w:p w14:paraId="61C2C697" w14:textId="77777777" w:rsidR="00C45EE6" w:rsidRPr="00C45EE6" w:rsidRDefault="00C45EE6" w:rsidP="00C45EE6">
      <w:pPr>
        <w:spacing w:after="0" w:line="240" w:lineRule="auto"/>
        <w:ind w:left="2124" w:firstLine="708"/>
        <w:contextualSpacing/>
        <w:jc w:val="both"/>
        <w:rPr>
          <w:rFonts w:ascii="Times New Roman" w:hAnsi="Times New Roman"/>
          <w:b/>
          <w:i/>
          <w:sz w:val="24"/>
          <w:szCs w:val="24"/>
          <w:lang w:eastAsia="hr-HR"/>
        </w:rPr>
      </w:pPr>
      <w:r w:rsidRPr="00C45EE6">
        <w:rPr>
          <w:rFonts w:ascii="Times New Roman" w:hAnsi="Times New Roman"/>
          <w:b/>
          <w:i/>
          <w:sz w:val="24"/>
          <w:szCs w:val="24"/>
          <w:lang w:eastAsia="hr-HR"/>
        </w:rPr>
        <w:lastRenderedPageBreak/>
        <w:t xml:space="preserve">  Privremena mjera obustave isplate </w:t>
      </w:r>
    </w:p>
    <w:p w14:paraId="084970A4"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0472F8A2" w14:textId="77777777" w:rsidR="00C45EE6" w:rsidRPr="00C45EE6" w:rsidRDefault="00C45EE6" w:rsidP="00C45EE6">
      <w:pPr>
        <w:spacing w:after="0" w:line="240" w:lineRule="auto"/>
        <w:ind w:left="4248"/>
        <w:contextualSpacing/>
        <w:jc w:val="both"/>
        <w:rPr>
          <w:rFonts w:ascii="Times New Roman" w:hAnsi="Times New Roman"/>
          <w:sz w:val="24"/>
          <w:szCs w:val="24"/>
          <w:lang w:eastAsia="hr-HR"/>
        </w:rPr>
      </w:pPr>
      <w:r w:rsidRPr="00C45EE6">
        <w:rPr>
          <w:rFonts w:ascii="Times New Roman" w:hAnsi="Times New Roman"/>
          <w:sz w:val="24"/>
          <w:szCs w:val="24"/>
          <w:lang w:eastAsia="hr-HR"/>
        </w:rPr>
        <w:t>Članak 8.</w:t>
      </w:r>
    </w:p>
    <w:p w14:paraId="49B9030B"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59B68C92"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 xml:space="preserve">(1) Kada odredi financijsku korekciju, uz određivanje metode uplate, može se primijeniti privremenu mjeru obustave isplate daljnjih sredstava korisniku, do podmirenja iznosa. </w:t>
      </w:r>
    </w:p>
    <w:p w14:paraId="4B3B9322"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47884DE0"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53207200"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1EC24BDC"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(3) Privremena mjera traje do pravomoćnog okončanja prekršajnog/kaznenog postupka ili do odluke nadležnog tijela da više nema uvjeta za njezinu primjenu.</w:t>
      </w:r>
    </w:p>
    <w:p w14:paraId="1EE4F2F1"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5048CDFC"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(4) Nadležno tijelo će ukinuti privremenu mjeru po prestanku uvjeta za njezinu primjenu.</w:t>
      </w:r>
    </w:p>
    <w:p w14:paraId="14130C80"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39D336B5"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hAnsi="Times New Roman"/>
          <w:sz w:val="24"/>
          <w:szCs w:val="24"/>
          <w:lang w:eastAsia="hr-HR"/>
        </w:rPr>
        <w:t>(5) Privremena mjera obustave isplate određuje se i u situacijama opisanima u Općim uvjetima Ugovora.</w:t>
      </w:r>
    </w:p>
    <w:p w14:paraId="76E69E09" w14:textId="77777777" w:rsidR="00C45EE6" w:rsidRPr="00C45EE6" w:rsidRDefault="00C45EE6" w:rsidP="00C45EE6">
      <w:pPr>
        <w:spacing w:after="0" w:line="240" w:lineRule="auto"/>
        <w:contextualSpacing/>
        <w:rPr>
          <w:rFonts w:ascii="Times New Roman" w:hAnsi="Times New Roman"/>
          <w:sz w:val="24"/>
          <w:szCs w:val="24"/>
          <w:lang w:eastAsia="hr-HR"/>
        </w:rPr>
      </w:pPr>
    </w:p>
    <w:p w14:paraId="0849A8C6" w14:textId="77777777" w:rsidR="00C45EE6" w:rsidRPr="00C45EE6" w:rsidRDefault="00C45EE6" w:rsidP="00C45EE6">
      <w:pPr>
        <w:spacing w:after="0" w:line="240" w:lineRule="auto"/>
        <w:contextualSpacing/>
        <w:jc w:val="both"/>
        <w:rPr>
          <w:rFonts w:ascii="Times New Roman" w:hAnsi="Times New Roman"/>
          <w:sz w:val="24"/>
          <w:szCs w:val="24"/>
          <w:lang w:eastAsia="hr-HR"/>
        </w:rPr>
      </w:pPr>
      <w:r w:rsidRPr="00C45EE6">
        <w:rPr>
          <w:rFonts w:ascii="Times New Roman" w:eastAsia="Calibri" w:hAnsi="Times New Roman"/>
          <w:sz w:val="24"/>
          <w:szCs w:val="24"/>
        </w:rPr>
        <w:t>(6) PT-ovi i NT-ovi ne odgovaraju za štetu koja Korisniku ili partneru nastaje zbog privremene mjere obustave isplate.</w:t>
      </w:r>
    </w:p>
    <w:p w14:paraId="0CDC5DD1" w14:textId="77777777" w:rsidR="00C45EE6" w:rsidRPr="00C45EE6" w:rsidRDefault="00C45EE6" w:rsidP="00C45EE6">
      <w:pPr>
        <w:spacing w:after="0" w:line="240" w:lineRule="auto"/>
        <w:contextualSpacing/>
        <w:rPr>
          <w:rFonts w:ascii="Times New Roman" w:hAnsi="Times New Roman"/>
          <w:sz w:val="24"/>
          <w:szCs w:val="24"/>
          <w:lang w:eastAsia="hr-HR"/>
        </w:rPr>
      </w:pPr>
    </w:p>
    <w:p w14:paraId="7D07E301" w14:textId="77777777" w:rsidR="00C45EE6" w:rsidRPr="00C45EE6" w:rsidRDefault="00C45EE6" w:rsidP="00C45EE6">
      <w:pPr>
        <w:spacing w:after="0" w:line="240" w:lineRule="auto"/>
        <w:contextualSpacing/>
        <w:rPr>
          <w:rFonts w:ascii="Times New Roman" w:hAnsi="Times New Roman"/>
          <w:sz w:val="24"/>
          <w:szCs w:val="24"/>
          <w:lang w:eastAsia="hr-HR"/>
        </w:rPr>
      </w:pPr>
    </w:p>
    <w:p w14:paraId="329C9387" w14:textId="77777777" w:rsidR="00C45EE6" w:rsidRPr="00C45EE6" w:rsidRDefault="00C45EE6" w:rsidP="00C45EE6">
      <w:pPr>
        <w:spacing w:after="0" w:line="240" w:lineRule="auto"/>
        <w:contextualSpacing/>
        <w:rPr>
          <w:rFonts w:ascii="Times New Roman" w:hAnsi="Times New Roman"/>
          <w:sz w:val="24"/>
          <w:szCs w:val="24"/>
          <w:lang w:eastAsia="hr-HR"/>
        </w:rPr>
      </w:pPr>
    </w:p>
    <w:p w14:paraId="3BD466C1" w14:textId="146183E4" w:rsidR="00C45EE6" w:rsidRDefault="00C45EE6" w:rsidP="00C45EE6">
      <w:pPr>
        <w:spacing w:after="0" w:line="240" w:lineRule="auto"/>
        <w:contextualSpacing/>
        <w:rPr>
          <w:rFonts w:ascii="Times New Roman" w:hAnsi="Times New Roman"/>
          <w:sz w:val="24"/>
          <w:szCs w:val="24"/>
          <w:lang w:eastAsia="hr-HR"/>
        </w:rPr>
      </w:pPr>
    </w:p>
    <w:p w14:paraId="7C0D8064" w14:textId="4514A5BF" w:rsidR="00080C31" w:rsidRDefault="00080C31" w:rsidP="00C45EE6">
      <w:pPr>
        <w:spacing w:after="0" w:line="240" w:lineRule="auto"/>
        <w:contextualSpacing/>
        <w:rPr>
          <w:rFonts w:ascii="Times New Roman" w:hAnsi="Times New Roman"/>
          <w:sz w:val="24"/>
          <w:szCs w:val="24"/>
          <w:lang w:eastAsia="hr-HR"/>
        </w:rPr>
      </w:pPr>
    </w:p>
    <w:p w14:paraId="44275D57" w14:textId="431406EA" w:rsidR="00080C31" w:rsidRDefault="00080C31" w:rsidP="00C45EE6">
      <w:pPr>
        <w:spacing w:after="0" w:line="240" w:lineRule="auto"/>
        <w:contextualSpacing/>
        <w:rPr>
          <w:rFonts w:ascii="Times New Roman" w:hAnsi="Times New Roman"/>
          <w:sz w:val="24"/>
          <w:szCs w:val="24"/>
          <w:lang w:eastAsia="hr-HR"/>
        </w:rPr>
      </w:pPr>
    </w:p>
    <w:p w14:paraId="725A29A1" w14:textId="55D97A25" w:rsidR="00080C31" w:rsidRDefault="00080C31" w:rsidP="00C45EE6">
      <w:pPr>
        <w:spacing w:after="0" w:line="240" w:lineRule="auto"/>
        <w:contextualSpacing/>
        <w:rPr>
          <w:rFonts w:ascii="Times New Roman" w:hAnsi="Times New Roman"/>
          <w:sz w:val="24"/>
          <w:szCs w:val="24"/>
          <w:lang w:eastAsia="hr-HR"/>
        </w:rPr>
      </w:pPr>
    </w:p>
    <w:p w14:paraId="132FB5EF" w14:textId="6DB9DAD2" w:rsidR="00080C31" w:rsidRDefault="00080C31" w:rsidP="00C45EE6">
      <w:pPr>
        <w:spacing w:after="0" w:line="240" w:lineRule="auto"/>
        <w:contextualSpacing/>
        <w:rPr>
          <w:rFonts w:ascii="Times New Roman" w:hAnsi="Times New Roman"/>
          <w:sz w:val="24"/>
          <w:szCs w:val="24"/>
          <w:lang w:eastAsia="hr-HR"/>
        </w:rPr>
      </w:pPr>
    </w:p>
    <w:p w14:paraId="0E0C9A3C" w14:textId="2761002B" w:rsidR="00080C31" w:rsidRDefault="00080C31" w:rsidP="00C45EE6">
      <w:pPr>
        <w:spacing w:after="0" w:line="240" w:lineRule="auto"/>
        <w:contextualSpacing/>
        <w:rPr>
          <w:rFonts w:ascii="Times New Roman" w:hAnsi="Times New Roman"/>
          <w:sz w:val="24"/>
          <w:szCs w:val="24"/>
          <w:lang w:eastAsia="hr-HR"/>
        </w:rPr>
      </w:pPr>
    </w:p>
    <w:p w14:paraId="4F5034FB" w14:textId="03BCE0D6" w:rsidR="00080C31" w:rsidRDefault="00080C31" w:rsidP="00C45EE6">
      <w:pPr>
        <w:spacing w:after="0" w:line="240" w:lineRule="auto"/>
        <w:contextualSpacing/>
        <w:rPr>
          <w:rFonts w:ascii="Times New Roman" w:hAnsi="Times New Roman"/>
          <w:sz w:val="24"/>
          <w:szCs w:val="24"/>
          <w:lang w:eastAsia="hr-HR"/>
        </w:rPr>
      </w:pPr>
    </w:p>
    <w:p w14:paraId="000A35A2" w14:textId="58F313B1" w:rsidR="00080C31" w:rsidRDefault="00080C31" w:rsidP="00C45EE6">
      <w:pPr>
        <w:spacing w:after="0" w:line="240" w:lineRule="auto"/>
        <w:contextualSpacing/>
        <w:rPr>
          <w:rFonts w:ascii="Times New Roman" w:hAnsi="Times New Roman"/>
          <w:sz w:val="24"/>
          <w:szCs w:val="24"/>
          <w:lang w:eastAsia="hr-HR"/>
        </w:rPr>
      </w:pPr>
    </w:p>
    <w:p w14:paraId="00474259" w14:textId="744C6786" w:rsidR="00080C31" w:rsidRDefault="00080C31" w:rsidP="00C45EE6">
      <w:pPr>
        <w:spacing w:after="0" w:line="240" w:lineRule="auto"/>
        <w:contextualSpacing/>
        <w:rPr>
          <w:rFonts w:ascii="Times New Roman" w:hAnsi="Times New Roman"/>
          <w:sz w:val="24"/>
          <w:szCs w:val="24"/>
          <w:lang w:eastAsia="hr-HR"/>
        </w:rPr>
      </w:pPr>
    </w:p>
    <w:p w14:paraId="322C7B9D" w14:textId="2D753374" w:rsidR="00080C31" w:rsidRDefault="00080C31" w:rsidP="00C45EE6">
      <w:pPr>
        <w:spacing w:after="0" w:line="240" w:lineRule="auto"/>
        <w:contextualSpacing/>
        <w:rPr>
          <w:rFonts w:ascii="Times New Roman" w:hAnsi="Times New Roman"/>
          <w:sz w:val="24"/>
          <w:szCs w:val="24"/>
          <w:lang w:eastAsia="hr-HR"/>
        </w:rPr>
      </w:pPr>
    </w:p>
    <w:p w14:paraId="0443BF16" w14:textId="599E09F6" w:rsidR="00080C31" w:rsidRDefault="00080C31" w:rsidP="00C45EE6">
      <w:pPr>
        <w:spacing w:after="0" w:line="240" w:lineRule="auto"/>
        <w:contextualSpacing/>
        <w:rPr>
          <w:rFonts w:ascii="Times New Roman" w:hAnsi="Times New Roman"/>
          <w:sz w:val="24"/>
          <w:szCs w:val="24"/>
          <w:lang w:eastAsia="hr-HR"/>
        </w:rPr>
      </w:pPr>
    </w:p>
    <w:p w14:paraId="1EF0FDDB" w14:textId="2A6C0439" w:rsidR="00080C31" w:rsidRDefault="00080C31" w:rsidP="00C45EE6">
      <w:pPr>
        <w:spacing w:after="0" w:line="240" w:lineRule="auto"/>
        <w:contextualSpacing/>
        <w:rPr>
          <w:rFonts w:ascii="Times New Roman" w:hAnsi="Times New Roman"/>
          <w:sz w:val="24"/>
          <w:szCs w:val="24"/>
          <w:lang w:eastAsia="hr-HR"/>
        </w:rPr>
      </w:pPr>
    </w:p>
    <w:p w14:paraId="0CEAD3E7" w14:textId="77777777" w:rsidR="00080C31" w:rsidRPr="00C45EE6" w:rsidRDefault="00080C31" w:rsidP="00C45EE6">
      <w:pPr>
        <w:spacing w:after="0" w:line="240" w:lineRule="auto"/>
        <w:contextualSpacing/>
        <w:rPr>
          <w:rFonts w:ascii="Times New Roman" w:hAnsi="Times New Roman"/>
          <w:sz w:val="24"/>
          <w:szCs w:val="24"/>
          <w:lang w:eastAsia="hr-HR"/>
        </w:rPr>
      </w:pPr>
    </w:p>
    <w:p w14:paraId="5E76C33E"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0D2D0628"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1351DDD6" w14:textId="77777777" w:rsidR="00C45EE6" w:rsidRPr="00C45EE6" w:rsidRDefault="00C45EE6" w:rsidP="00C45EE6">
      <w:pPr>
        <w:spacing w:after="0" w:line="240" w:lineRule="auto"/>
        <w:contextualSpacing/>
        <w:jc w:val="both"/>
        <w:rPr>
          <w:rFonts w:ascii="Times New Roman" w:hAnsi="Times New Roman"/>
          <w:sz w:val="24"/>
          <w:szCs w:val="24"/>
          <w:lang w:eastAsia="hr-HR"/>
        </w:rPr>
      </w:pPr>
    </w:p>
    <w:p w14:paraId="46B82226" w14:textId="77777777" w:rsidR="00C45EE6" w:rsidRPr="00C45EE6" w:rsidRDefault="00C45EE6" w:rsidP="00C45EE6">
      <w:pPr>
        <w:spacing w:after="0" w:line="240" w:lineRule="auto"/>
        <w:contextualSpacing/>
        <w:rPr>
          <w:rFonts w:ascii="Times New Roman" w:hAnsi="Times New Roman"/>
          <w:sz w:val="24"/>
          <w:szCs w:val="24"/>
          <w:lang w:eastAsia="hr-HR"/>
        </w:rPr>
      </w:pPr>
    </w:p>
    <w:p w14:paraId="2102E99E" w14:textId="77777777" w:rsidR="00C45EE6" w:rsidRPr="00C45EE6" w:rsidRDefault="00C45EE6" w:rsidP="00C45EE6">
      <w:pPr>
        <w:spacing w:after="0" w:line="240" w:lineRule="auto"/>
        <w:contextualSpacing/>
        <w:jc w:val="center"/>
        <w:rPr>
          <w:rFonts w:ascii="Times New Roman" w:hAnsi="Times New Roman"/>
          <w:b/>
          <w:sz w:val="24"/>
          <w:szCs w:val="24"/>
          <w:lang w:eastAsia="hr-HR"/>
        </w:rPr>
      </w:pPr>
      <w:r w:rsidRPr="00C45EE6">
        <w:rPr>
          <w:rFonts w:ascii="Times New Roman" w:hAnsi="Times New Roman"/>
          <w:b/>
          <w:sz w:val="24"/>
          <w:szCs w:val="24"/>
          <w:lang w:eastAsia="hr-HR"/>
        </w:rPr>
        <w:lastRenderedPageBreak/>
        <w:t>Prilog 1.</w:t>
      </w:r>
    </w:p>
    <w:p w14:paraId="07C915C3" w14:textId="77777777" w:rsidR="00C45EE6" w:rsidRPr="00C45EE6" w:rsidRDefault="00C45EE6" w:rsidP="00C45EE6">
      <w:pPr>
        <w:spacing w:after="0" w:line="240" w:lineRule="auto"/>
        <w:contextualSpacing/>
        <w:jc w:val="center"/>
        <w:rPr>
          <w:rFonts w:ascii="Times New Roman" w:hAnsi="Times New Roman"/>
          <w:sz w:val="24"/>
          <w:szCs w:val="24"/>
          <w:lang w:eastAsia="hr-HR"/>
        </w:rPr>
      </w:pPr>
    </w:p>
    <w:p w14:paraId="485498A1" w14:textId="77777777" w:rsidR="00C45EE6" w:rsidRPr="00C45EE6" w:rsidRDefault="00C45EE6" w:rsidP="00C45EE6">
      <w:pPr>
        <w:spacing w:after="0" w:line="240" w:lineRule="auto"/>
        <w:contextualSpacing/>
        <w:jc w:val="center"/>
        <w:rPr>
          <w:rFonts w:ascii="Times New Roman" w:hAnsi="Times New Roman"/>
          <w:b/>
          <w:sz w:val="24"/>
          <w:szCs w:val="24"/>
          <w:lang w:eastAsia="hr-HR"/>
        </w:rPr>
      </w:pPr>
      <w:r w:rsidRPr="00C45EE6">
        <w:rPr>
          <w:rFonts w:ascii="Times New Roman" w:hAnsi="Times New Roman"/>
          <w:b/>
          <w:sz w:val="24"/>
          <w:szCs w:val="24"/>
          <w:lang w:eastAsia="hr-HR"/>
        </w:rPr>
        <w:t>Nepravilnosti u kojima se određuje financijska korekcija – obveznici Zakona o javnoj nabavi</w:t>
      </w:r>
      <w:r w:rsidRPr="00C45EE6">
        <w:rPr>
          <w:rFonts w:ascii="Times New Roman" w:hAnsi="Times New Roman"/>
          <w:b/>
          <w:sz w:val="24"/>
          <w:szCs w:val="24"/>
          <w:vertAlign w:val="superscript"/>
          <w:lang w:eastAsia="hr-HR"/>
        </w:rPr>
        <w:footnoteReference w:id="3"/>
      </w:r>
    </w:p>
    <w:p w14:paraId="70703A91" w14:textId="77777777" w:rsidR="00C45EE6" w:rsidRPr="00C45EE6" w:rsidRDefault="00C45EE6" w:rsidP="00C45EE6">
      <w:pPr>
        <w:spacing w:after="0" w:line="240" w:lineRule="auto"/>
        <w:contextualSpacing/>
        <w:jc w:val="both"/>
        <w:rPr>
          <w:rFonts w:ascii="Times New Roman" w:hAnsi="Times New Roman"/>
          <w:sz w:val="20"/>
          <w:szCs w:val="20"/>
          <w:lang w:eastAsia="hr-HR"/>
        </w:rPr>
      </w:pPr>
    </w:p>
    <w:p w14:paraId="1C83C3F7" w14:textId="77777777" w:rsidR="00C45EE6" w:rsidRPr="00C45EE6" w:rsidRDefault="00C45EE6" w:rsidP="00C45EE6">
      <w:pPr>
        <w:spacing w:after="0" w:line="240" w:lineRule="auto"/>
        <w:contextualSpacing/>
        <w:jc w:val="both"/>
        <w:rPr>
          <w:rFonts w:ascii="Times New Roman" w:hAnsi="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C45EE6" w:rsidRPr="00C45EE6" w14:paraId="116887EA" w14:textId="77777777" w:rsidTr="00C30045">
        <w:trPr>
          <w:tblHeader/>
        </w:trPr>
        <w:tc>
          <w:tcPr>
            <w:tcW w:w="254" w:type="pct"/>
            <w:tcBorders>
              <w:top w:val="single" w:sz="4" w:space="0" w:color="auto"/>
              <w:left w:val="single" w:sz="4" w:space="0" w:color="auto"/>
              <w:bottom w:val="single" w:sz="4" w:space="0" w:color="auto"/>
              <w:right w:val="single" w:sz="4" w:space="0" w:color="auto"/>
            </w:tcBorders>
            <w:hideMark/>
          </w:tcPr>
          <w:p w14:paraId="060194CE" w14:textId="77777777" w:rsidR="00C45EE6" w:rsidRPr="00C45EE6" w:rsidRDefault="00C45EE6" w:rsidP="00C45EE6">
            <w:pPr>
              <w:spacing w:after="0" w:line="240" w:lineRule="auto"/>
              <w:jc w:val="center"/>
              <w:rPr>
                <w:rFonts w:ascii="Times New Roman" w:eastAsia="Calibri" w:hAnsi="Times New Roman"/>
                <w:b/>
                <w:sz w:val="16"/>
                <w:szCs w:val="16"/>
              </w:rPr>
            </w:pPr>
            <w:r w:rsidRPr="00C45EE6">
              <w:rPr>
                <w:rFonts w:ascii="Times New Roman" w:eastAsia="Calibri" w:hAnsi="Times New Roman"/>
                <w:b/>
                <w:sz w:val="16"/>
                <w:szCs w:val="16"/>
              </w:rPr>
              <w:t>Br.</w:t>
            </w:r>
          </w:p>
        </w:tc>
        <w:tc>
          <w:tcPr>
            <w:tcW w:w="997" w:type="pct"/>
            <w:tcBorders>
              <w:top w:val="single" w:sz="4" w:space="0" w:color="auto"/>
              <w:left w:val="single" w:sz="4" w:space="0" w:color="auto"/>
              <w:bottom w:val="single" w:sz="4" w:space="0" w:color="auto"/>
              <w:right w:val="single" w:sz="4" w:space="0" w:color="auto"/>
            </w:tcBorders>
            <w:hideMark/>
          </w:tcPr>
          <w:p w14:paraId="05B64D8D" w14:textId="77777777" w:rsidR="00C45EE6" w:rsidRPr="00C45EE6" w:rsidRDefault="00C45EE6" w:rsidP="00C45EE6">
            <w:pPr>
              <w:spacing w:after="0" w:line="240" w:lineRule="auto"/>
              <w:jc w:val="center"/>
              <w:rPr>
                <w:rFonts w:ascii="Times New Roman" w:eastAsia="Calibri" w:hAnsi="Times New Roman"/>
                <w:b/>
                <w:sz w:val="18"/>
                <w:szCs w:val="18"/>
              </w:rPr>
            </w:pPr>
            <w:r w:rsidRPr="00C45EE6">
              <w:rPr>
                <w:rFonts w:ascii="Times New Roman" w:eastAsia="Calibri" w:hAnsi="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3DC9BBDE" w14:textId="77777777" w:rsidR="00C45EE6" w:rsidRPr="00C45EE6" w:rsidRDefault="00C45EE6" w:rsidP="00C45EE6">
            <w:pPr>
              <w:spacing w:after="0" w:line="240" w:lineRule="auto"/>
              <w:jc w:val="center"/>
              <w:rPr>
                <w:rFonts w:ascii="Times New Roman" w:eastAsia="Calibri" w:hAnsi="Times New Roman"/>
                <w:b/>
                <w:sz w:val="20"/>
                <w:szCs w:val="20"/>
              </w:rPr>
            </w:pPr>
            <w:r w:rsidRPr="00C45EE6">
              <w:rPr>
                <w:rFonts w:ascii="Times New Roman" w:eastAsia="Calibri" w:hAnsi="Times New Roman"/>
                <w:b/>
                <w:sz w:val="20"/>
                <w:szCs w:val="20"/>
              </w:rPr>
              <w:t>Opis / Primjeri (ne predstavljaju zatvoren broj, već služe isključivo kao najučestaliji primjeri i orijentiri za procjenu sličnih nepravilnosti)</w:t>
            </w:r>
          </w:p>
          <w:p w14:paraId="7F38FC7A" w14:textId="77777777" w:rsidR="00C45EE6" w:rsidRPr="00C45EE6" w:rsidRDefault="00C45EE6" w:rsidP="00C45EE6">
            <w:pPr>
              <w:spacing w:after="0" w:line="240" w:lineRule="auto"/>
              <w:jc w:val="center"/>
              <w:rPr>
                <w:rFonts w:ascii="Times New Roman" w:eastAsia="Calibri" w:hAnsi="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83AC370" w14:textId="77777777" w:rsidR="00C45EE6" w:rsidRPr="00C45EE6" w:rsidRDefault="00C45EE6" w:rsidP="00C45EE6">
            <w:pPr>
              <w:spacing w:after="0" w:line="240" w:lineRule="auto"/>
              <w:jc w:val="center"/>
              <w:rPr>
                <w:rFonts w:ascii="Times New Roman" w:eastAsia="Calibri" w:hAnsi="Times New Roman"/>
                <w:b/>
                <w:sz w:val="20"/>
                <w:szCs w:val="20"/>
              </w:rPr>
            </w:pPr>
            <w:r w:rsidRPr="00C45EE6">
              <w:rPr>
                <w:rFonts w:ascii="Times New Roman" w:eastAsia="Calibri" w:hAnsi="Times New Roman"/>
                <w:b/>
                <w:sz w:val="20"/>
                <w:szCs w:val="20"/>
              </w:rPr>
              <w:t>Financijska korekcija</w:t>
            </w:r>
          </w:p>
        </w:tc>
      </w:tr>
      <w:tr w:rsidR="00C45EE6" w:rsidRPr="00C45EE6" w14:paraId="39E836F5" w14:textId="77777777" w:rsidTr="00C3004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7232E8E2" w14:textId="77777777" w:rsidR="00C45EE6" w:rsidRPr="00C45EE6" w:rsidRDefault="00C45EE6" w:rsidP="00C45EE6">
            <w:pPr>
              <w:spacing w:before="240"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261D0DE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Sukob interesa koji utječe na ishod postupka javne nabave</w:t>
            </w:r>
          </w:p>
          <w:p w14:paraId="43AA3A3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16"/>
                <w:szCs w:val="16"/>
              </w:rPr>
            </w:pPr>
            <w:r w:rsidRPr="00C45EE6">
              <w:rPr>
                <w:rFonts w:ascii="Times New Roman" w:eastAsia="Calibri" w:hAnsi="Times New Roman"/>
                <w:sz w:val="20"/>
                <w:szCs w:val="20"/>
              </w:rPr>
              <w:t xml:space="preserve">(u bilo kojoj od faza javne nabave*) </w:t>
            </w:r>
          </w:p>
        </w:tc>
        <w:tc>
          <w:tcPr>
            <w:tcW w:w="2502" w:type="pct"/>
            <w:tcBorders>
              <w:top w:val="single" w:sz="4" w:space="0" w:color="auto"/>
              <w:left w:val="single" w:sz="4" w:space="0" w:color="auto"/>
              <w:bottom w:val="single" w:sz="4" w:space="0" w:color="auto"/>
              <w:right w:val="single" w:sz="4" w:space="0" w:color="auto"/>
            </w:tcBorders>
            <w:hideMark/>
          </w:tcPr>
          <w:p w14:paraId="74893DA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w:t>
            </w:r>
            <w:r w:rsidRPr="00C45EE6">
              <w:rPr>
                <w:rFonts w:eastAsia="Calibri"/>
              </w:rPr>
              <w:t xml:space="preserve"> </w:t>
            </w:r>
            <w:r w:rsidRPr="00C45EE6">
              <w:rPr>
                <w:rFonts w:ascii="Times New Roman" w:eastAsia="Calibri" w:hAnsi="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500E32E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100% od ugovorenog iznosa </w:t>
            </w:r>
          </w:p>
          <w:p w14:paraId="4BC4045D"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66FD163D" w14:textId="77777777" w:rsidTr="00C3004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C91204F"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06913F3C"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Prijevara</w:t>
            </w:r>
          </w:p>
          <w:p w14:paraId="0D338DAF"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bilo kojoj od faza javne nabave)</w:t>
            </w:r>
          </w:p>
          <w:p w14:paraId="0DCF1E7C" w14:textId="77777777" w:rsidR="00C45EE6" w:rsidRPr="00C45EE6" w:rsidRDefault="00C45EE6" w:rsidP="00C45EE6">
            <w:pPr>
              <w:spacing w:after="0" w:line="240" w:lineRule="auto"/>
              <w:jc w:val="both"/>
              <w:rPr>
                <w:rFonts w:ascii="Times New Roman" w:eastAsia="Calibri" w:hAnsi="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5DD13F7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Prijevara je utvrđena na temelju pravomoćne odluke nadležnog pravosudnog tijela.</w:t>
            </w:r>
          </w:p>
          <w:p w14:paraId="3F7C3F20" w14:textId="77777777" w:rsidR="00C45EE6" w:rsidRPr="00C45EE6" w:rsidRDefault="00C45EE6" w:rsidP="00C45EE6">
            <w:pPr>
              <w:autoSpaceDE w:val="0"/>
              <w:autoSpaceDN w:val="0"/>
              <w:adjustRightInd w:val="0"/>
              <w:spacing w:after="0" w:line="240" w:lineRule="auto"/>
              <w:ind w:left="360"/>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1C8E7D6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100% od ugovorenog iznosa </w:t>
            </w:r>
          </w:p>
          <w:p w14:paraId="216CA20B" w14:textId="77777777" w:rsidR="00C45EE6" w:rsidRPr="00C45EE6" w:rsidRDefault="00C45EE6" w:rsidP="00C45EE6">
            <w:pPr>
              <w:spacing w:after="0" w:line="240" w:lineRule="auto"/>
              <w:jc w:val="both"/>
              <w:rPr>
                <w:rFonts w:ascii="Times New Roman" w:eastAsia="Calibri" w:hAnsi="Times New Roman"/>
                <w:sz w:val="20"/>
                <w:szCs w:val="20"/>
              </w:rPr>
            </w:pPr>
          </w:p>
          <w:p w14:paraId="5F91557D" w14:textId="77777777" w:rsidR="00C45EE6" w:rsidRPr="00C45EE6" w:rsidRDefault="00C45EE6" w:rsidP="00C45EE6">
            <w:pPr>
              <w:spacing w:after="0" w:line="240" w:lineRule="auto"/>
              <w:jc w:val="both"/>
              <w:rPr>
                <w:rFonts w:ascii="Times New Roman" w:eastAsia="Calibri" w:hAnsi="Times New Roman"/>
                <w:sz w:val="20"/>
                <w:szCs w:val="20"/>
              </w:rPr>
            </w:pPr>
          </w:p>
          <w:p w14:paraId="65897FEA"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6B7D252F" w14:textId="77777777" w:rsidTr="00C30045">
        <w:tc>
          <w:tcPr>
            <w:tcW w:w="5000" w:type="pct"/>
            <w:gridSpan w:val="4"/>
            <w:tcBorders>
              <w:top w:val="single" w:sz="4" w:space="0" w:color="auto"/>
              <w:left w:val="single" w:sz="4" w:space="0" w:color="auto"/>
              <w:bottom w:val="single" w:sz="4" w:space="0" w:color="auto"/>
              <w:right w:val="single" w:sz="4" w:space="0" w:color="auto"/>
            </w:tcBorders>
            <w:hideMark/>
          </w:tcPr>
          <w:p w14:paraId="164B0106" w14:textId="77777777" w:rsidR="00C45EE6" w:rsidRPr="00C45EE6" w:rsidRDefault="00C45EE6" w:rsidP="00C45EE6">
            <w:pPr>
              <w:spacing w:after="0" w:line="240" w:lineRule="auto"/>
              <w:jc w:val="center"/>
              <w:rPr>
                <w:rFonts w:ascii="Times New Roman" w:eastAsia="Calibri" w:hAnsi="Times New Roman"/>
                <w:b/>
                <w:sz w:val="24"/>
                <w:szCs w:val="24"/>
              </w:rPr>
            </w:pPr>
          </w:p>
          <w:p w14:paraId="5672F502" w14:textId="77777777" w:rsidR="00C45EE6" w:rsidRPr="00C45EE6" w:rsidRDefault="00C45EE6" w:rsidP="00C45EE6">
            <w:pPr>
              <w:spacing w:after="0" w:line="240" w:lineRule="auto"/>
              <w:jc w:val="center"/>
              <w:rPr>
                <w:rFonts w:ascii="Times New Roman" w:eastAsia="Calibri" w:hAnsi="Times New Roman"/>
                <w:b/>
                <w:sz w:val="24"/>
                <w:szCs w:val="24"/>
              </w:rPr>
            </w:pPr>
            <w:r w:rsidRPr="00C45EE6">
              <w:rPr>
                <w:rFonts w:ascii="Times New Roman" w:eastAsia="Calibri" w:hAnsi="Times New Roman"/>
                <w:b/>
                <w:sz w:val="24"/>
                <w:szCs w:val="24"/>
              </w:rPr>
              <w:t>Objava poziva na nadmetanje / sadržaj obavijesti o nadmetanju i dokumentacija o nabavi</w:t>
            </w:r>
          </w:p>
          <w:p w14:paraId="132E1F8D" w14:textId="77777777" w:rsidR="00C45EE6" w:rsidRPr="00C45EE6" w:rsidRDefault="00C45EE6" w:rsidP="00C45EE6">
            <w:pPr>
              <w:spacing w:after="0" w:line="240" w:lineRule="auto"/>
              <w:jc w:val="center"/>
              <w:rPr>
                <w:rFonts w:ascii="Times New Roman" w:eastAsia="Calibri" w:hAnsi="Times New Roman"/>
                <w:b/>
                <w:sz w:val="24"/>
                <w:szCs w:val="24"/>
              </w:rPr>
            </w:pPr>
          </w:p>
        </w:tc>
      </w:tr>
      <w:tr w:rsidR="00C45EE6" w:rsidRPr="00C45EE6" w14:paraId="5FCE1F48" w14:textId="77777777" w:rsidTr="00C3004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3B08686C"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4C9AC3E3"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Izostanak objave poziva na nadmetanje </w:t>
            </w:r>
          </w:p>
          <w:p w14:paraId="6859AE55"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p>
          <w:p w14:paraId="5381EF09"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ili</w:t>
            </w:r>
          </w:p>
          <w:p w14:paraId="3ABC0549"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p>
          <w:p w14:paraId="5A239344"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slučajevi koji ne opravdavaju izravnu dodjelu  ili uporabu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21D57810"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Poziv na nadmetanje nije objavljen u skladu s propisanim i primjenjivim pravilima objave (npr. objava u Službenom listu Europske unije) )</w:t>
            </w:r>
          </w:p>
          <w:p w14:paraId="156BC7EB"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p>
          <w:p w14:paraId="62E14E7F"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Također, nepravilnost postoji i u situacijama kada je ugovor dodijeljen putem izravne dodjele ili pregovaračkog postupka bez prethodne objave poziva na nadmetanje), pri čemu nisu zadovoljeni kriteriji za primjenu tog postupka. </w:t>
            </w:r>
          </w:p>
        </w:tc>
        <w:tc>
          <w:tcPr>
            <w:tcW w:w="1247" w:type="pct"/>
            <w:tcBorders>
              <w:top w:val="single" w:sz="4" w:space="0" w:color="auto"/>
              <w:left w:val="single" w:sz="4" w:space="0" w:color="auto"/>
              <w:bottom w:val="single" w:sz="4" w:space="0" w:color="auto"/>
              <w:right w:val="single" w:sz="4" w:space="0" w:color="auto"/>
            </w:tcBorders>
            <w:hideMark/>
          </w:tcPr>
          <w:p w14:paraId="788D4CF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100% od ugovorenog iznosa </w:t>
            </w:r>
          </w:p>
        </w:tc>
      </w:tr>
      <w:tr w:rsidR="00C45EE6" w:rsidRPr="00C45EE6" w14:paraId="193A7D3D" w14:textId="77777777" w:rsidTr="00C30045">
        <w:tc>
          <w:tcPr>
            <w:tcW w:w="254" w:type="pct"/>
            <w:vMerge/>
            <w:tcBorders>
              <w:top w:val="single" w:sz="4" w:space="0" w:color="auto"/>
              <w:left w:val="single" w:sz="4" w:space="0" w:color="auto"/>
              <w:bottom w:val="single" w:sz="4" w:space="0" w:color="auto"/>
              <w:right w:val="single" w:sz="4" w:space="0" w:color="auto"/>
            </w:tcBorders>
            <w:vAlign w:val="center"/>
            <w:hideMark/>
          </w:tcPr>
          <w:p w14:paraId="0192E3B4" w14:textId="77777777" w:rsidR="00C45EE6" w:rsidRPr="00C45EE6" w:rsidRDefault="00C45EE6" w:rsidP="00C45EE6">
            <w:pPr>
              <w:spacing w:after="0" w:line="240" w:lineRule="auto"/>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B361BFF" w14:textId="77777777" w:rsidR="00C45EE6" w:rsidRPr="00C45EE6" w:rsidRDefault="00C45EE6" w:rsidP="00C45EE6">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DCFAE6"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Prilikom objave Poziva na nadmetanje nije poštovana primjenjiva i propisana razina objave, ali je zainteresirana strana (gospodarski subjekt) u drugoj državi članici imala pristup informacijama vezanima uz postupak javne nabave, te bila u mogućnosti iskazati interes za sudjelovanjem u postupku i dobivanju tog ugovora:</w:t>
            </w:r>
          </w:p>
          <w:p w14:paraId="69923945" w14:textId="77777777" w:rsidR="00C45EE6" w:rsidRPr="00C45EE6" w:rsidRDefault="00C45EE6" w:rsidP="00C45EE6">
            <w:pPr>
              <w:widowControl w:val="0"/>
              <w:autoSpaceDE w:val="0"/>
              <w:autoSpaceDN w:val="0"/>
              <w:adjustRightInd w:val="0"/>
              <w:spacing w:after="0" w:line="256"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a) Poziv na nadmetanje je objavljen na nacionalnoj razini (sukladno nacionalnom zakonodavstvu),  i/ili</w:t>
            </w:r>
          </w:p>
          <w:p w14:paraId="29AC059A" w14:textId="77777777" w:rsidR="00C45EE6" w:rsidRPr="00C45EE6" w:rsidRDefault="00C45EE6" w:rsidP="00C45EE6">
            <w:pPr>
              <w:widowControl w:val="0"/>
              <w:autoSpaceDE w:val="0"/>
              <w:autoSpaceDN w:val="0"/>
              <w:adjustRightInd w:val="0"/>
              <w:spacing w:after="0" w:line="256"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b) osnovna pravila za objavljivanje poziva na nadmetanje su bila poštivana i to na način:</w:t>
            </w:r>
          </w:p>
          <w:p w14:paraId="475FB040" w14:textId="77777777" w:rsidR="00C45EE6" w:rsidRPr="00C45EE6" w:rsidRDefault="00C45EE6" w:rsidP="00C45EE6">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w:t>
            </w:r>
            <w:r w:rsidRPr="00C45EE6">
              <w:rPr>
                <w:rFonts w:ascii="Times New Roman" w:eastAsia="Calibri" w:hAnsi="Times New Roman"/>
                <w:sz w:val="20"/>
                <w:szCs w:val="20"/>
              </w:rPr>
              <w:lastRenderedPageBreak/>
              <w:t xml:space="preserve">tog ugovora; </w:t>
            </w:r>
          </w:p>
          <w:p w14:paraId="3CF94FC8" w14:textId="77777777" w:rsidR="00C45EE6" w:rsidRPr="00C45EE6" w:rsidRDefault="00C45EE6" w:rsidP="00C45EE6">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odabrani načini oglašavanja (internet, službena nacionalna glasila, nacionalna glasila specijalizirana za objave u području javne nabave, lokalne novine, oglasne ploče) su primjerene s obzirom na važnost ugovora za unutarnje tržište EU, i</w:t>
            </w:r>
          </w:p>
          <w:p w14:paraId="43767EE7" w14:textId="77777777" w:rsidR="00C45EE6" w:rsidRPr="00C45EE6" w:rsidRDefault="00C45EE6" w:rsidP="00C45EE6">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i/>
                <w:sz w:val="20"/>
                <w:szCs w:val="20"/>
              </w:rPr>
            </w:pPr>
            <w:r w:rsidRPr="00C45EE6">
              <w:rPr>
                <w:rFonts w:ascii="Times New Roman" w:eastAsia="Calibri" w:hAnsi="Times New Roman"/>
                <w:sz w:val="20"/>
                <w:szCs w:val="20"/>
              </w:rPr>
              <w:t>oglašeni su bitni podatci o ugovoru koji je predmet javne nabave, vrsti javne nabave i poziv da se kontaktiraju nadležne osobe naručitelja.</w:t>
            </w:r>
            <w:r w:rsidRPr="00C45EE6">
              <w:rPr>
                <w:rFonts w:ascii="Times New Roman" w:eastAsia="Calibri" w:hAnsi="Times New Roman"/>
                <w:vertAlign w:val="superscript"/>
              </w:rPr>
              <w:footnoteReference w:id="4"/>
            </w:r>
            <w:r w:rsidRPr="00C45EE6">
              <w:rPr>
                <w:rFonts w:ascii="Times New Roman" w:eastAsia="Calibri" w:hAnsi="Times New Roman"/>
                <w:i/>
                <w:strike/>
                <w:sz w:val="20"/>
                <w:szCs w:val="20"/>
              </w:rPr>
              <w:t xml:space="preserve"> </w:t>
            </w:r>
          </w:p>
          <w:p w14:paraId="33EF3631" w14:textId="77777777" w:rsidR="00C45EE6" w:rsidRPr="00C45EE6" w:rsidRDefault="00C45EE6" w:rsidP="00C45EE6">
            <w:pPr>
              <w:widowControl w:val="0"/>
              <w:autoSpaceDE w:val="0"/>
              <w:autoSpaceDN w:val="0"/>
              <w:adjustRightInd w:val="0"/>
              <w:spacing w:before="240" w:after="0" w:line="256" w:lineRule="auto"/>
              <w:jc w:val="both"/>
              <w:rPr>
                <w:rFonts w:ascii="Times New Roman" w:eastAsia="Calibri" w:hAnsi="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AFEBA35"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 xml:space="preserve">25% od ugovorenog iznosa </w:t>
            </w:r>
          </w:p>
        </w:tc>
      </w:tr>
      <w:tr w:rsidR="00C45EE6" w:rsidRPr="00C45EE6" w14:paraId="057DDAFC" w14:textId="77777777" w:rsidTr="00C30045">
        <w:tc>
          <w:tcPr>
            <w:tcW w:w="254" w:type="pct"/>
            <w:vMerge w:val="restart"/>
            <w:tcBorders>
              <w:top w:val="single" w:sz="4" w:space="0" w:color="auto"/>
              <w:left w:val="single" w:sz="4" w:space="0" w:color="auto"/>
              <w:right w:val="single" w:sz="4" w:space="0" w:color="auto"/>
            </w:tcBorders>
            <w:vAlign w:val="center"/>
          </w:tcPr>
          <w:p w14:paraId="73E35BE8"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4.</w:t>
            </w:r>
          </w:p>
          <w:p w14:paraId="7449CFCF" w14:textId="77777777" w:rsidR="00C45EE6" w:rsidRPr="00C45EE6" w:rsidRDefault="00C45EE6" w:rsidP="00C45EE6">
            <w:pPr>
              <w:spacing w:after="0" w:line="240" w:lineRule="auto"/>
              <w:jc w:val="right"/>
              <w:rPr>
                <w:rFonts w:ascii="Times New Roman" w:eastAsia="Calibri" w:hAnsi="Times New Roman"/>
                <w:sz w:val="16"/>
                <w:szCs w:val="16"/>
              </w:rPr>
            </w:pPr>
          </w:p>
          <w:p w14:paraId="4EB63434" w14:textId="77777777" w:rsidR="00C45EE6" w:rsidRPr="00C45EE6" w:rsidRDefault="00C45EE6" w:rsidP="00C45EE6">
            <w:pPr>
              <w:spacing w:after="0" w:line="240" w:lineRule="auto"/>
              <w:jc w:val="both"/>
              <w:rPr>
                <w:rFonts w:ascii="Times New Roman" w:eastAsia="Calibri" w:hAnsi="Times New Roman"/>
                <w:sz w:val="16"/>
                <w:szCs w:val="16"/>
              </w:rPr>
            </w:pPr>
          </w:p>
          <w:p w14:paraId="3EFDA068" w14:textId="77777777" w:rsidR="00C45EE6" w:rsidRPr="00C45EE6" w:rsidRDefault="00C45EE6" w:rsidP="00C45EE6">
            <w:pPr>
              <w:spacing w:after="0" w:line="240" w:lineRule="auto"/>
              <w:jc w:val="both"/>
              <w:rPr>
                <w:rFonts w:ascii="Times New Roman" w:eastAsia="Calibri" w:hAnsi="Times New Roman"/>
                <w:sz w:val="16"/>
                <w:szCs w:val="16"/>
              </w:rPr>
            </w:pPr>
          </w:p>
          <w:p w14:paraId="22FF96BE" w14:textId="77777777" w:rsidR="00C45EE6" w:rsidRPr="00C45EE6" w:rsidRDefault="00C45EE6" w:rsidP="00C45EE6">
            <w:pPr>
              <w:spacing w:after="0" w:line="240" w:lineRule="auto"/>
              <w:jc w:val="both"/>
              <w:rPr>
                <w:rFonts w:ascii="Times New Roman" w:eastAsia="Calibri" w:hAnsi="Times New Roman"/>
                <w:sz w:val="16"/>
                <w:szCs w:val="16"/>
              </w:rPr>
            </w:pPr>
          </w:p>
          <w:p w14:paraId="4246AC26" w14:textId="77777777" w:rsidR="00C45EE6" w:rsidRPr="00C45EE6" w:rsidRDefault="00C45EE6" w:rsidP="00C45EE6">
            <w:pPr>
              <w:spacing w:after="0" w:line="240" w:lineRule="auto"/>
              <w:jc w:val="both"/>
              <w:rPr>
                <w:rFonts w:ascii="Times New Roman" w:eastAsia="Calibri" w:hAnsi="Times New Roman"/>
                <w:sz w:val="16"/>
                <w:szCs w:val="16"/>
              </w:rPr>
            </w:pPr>
          </w:p>
          <w:p w14:paraId="2C46FF54" w14:textId="77777777" w:rsidR="00C45EE6" w:rsidRPr="00C45EE6" w:rsidRDefault="00C45EE6" w:rsidP="00C45EE6">
            <w:pPr>
              <w:spacing w:after="0" w:line="240" w:lineRule="auto"/>
              <w:jc w:val="both"/>
              <w:rPr>
                <w:rFonts w:ascii="Times New Roman" w:eastAsia="Calibri" w:hAnsi="Times New Roman"/>
                <w:sz w:val="16"/>
                <w:szCs w:val="16"/>
              </w:rPr>
            </w:pPr>
          </w:p>
          <w:p w14:paraId="3ABE04F8" w14:textId="77777777" w:rsidR="00C45EE6" w:rsidRPr="00C45EE6" w:rsidRDefault="00C45EE6" w:rsidP="00C45EE6">
            <w:pPr>
              <w:spacing w:before="240" w:after="240" w:line="240" w:lineRule="auto"/>
              <w:jc w:val="center"/>
              <w:rPr>
                <w:rFonts w:ascii="Times New Roman" w:eastAsia="Calibri" w:hAnsi="Times New Roman"/>
                <w:sz w:val="16"/>
                <w:szCs w:val="16"/>
              </w:rPr>
            </w:pPr>
          </w:p>
        </w:tc>
        <w:tc>
          <w:tcPr>
            <w:tcW w:w="997" w:type="pct"/>
            <w:vMerge w:val="restart"/>
            <w:tcBorders>
              <w:top w:val="single" w:sz="4" w:space="0" w:color="auto"/>
              <w:left w:val="single" w:sz="4" w:space="0" w:color="auto"/>
              <w:right w:val="single" w:sz="4" w:space="0" w:color="auto"/>
            </w:tcBorders>
          </w:tcPr>
          <w:p w14:paraId="26D17490"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Umjetna podjela ugovora o javnoj nabavi</w:t>
            </w:r>
          </w:p>
          <w:p w14:paraId="4C718351"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p>
          <w:p w14:paraId="39C78D72"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(nabava usluga, robe ili radova, 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378A3225"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Umjetna podjela javne nabave je rezultirala situacijom u kojoj poziv na nadmetanje nije objavljen u skladu s propisanim i primjenjivim pravilima objave (npr. objava u Službenom listu Europske unije) </w:t>
            </w:r>
          </w:p>
          <w:p w14:paraId="4BB28637"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i/>
                <w:sz w:val="20"/>
                <w:szCs w:val="20"/>
              </w:rPr>
            </w:pPr>
          </w:p>
          <w:p w14:paraId="1AD3BE7B"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83F27A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100% </w:t>
            </w:r>
          </w:p>
          <w:p w14:paraId="39E05F7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(agregirano)</w:t>
            </w:r>
            <w:r w:rsidRPr="00C45EE6">
              <w:rPr>
                <w:rFonts w:ascii="Times New Roman" w:eastAsia="Calibri" w:hAnsi="Times New Roman"/>
                <w:sz w:val="20"/>
                <w:szCs w:val="20"/>
                <w:vertAlign w:val="superscript"/>
              </w:rPr>
              <w:footnoteReference w:id="5"/>
            </w:r>
          </w:p>
          <w:p w14:paraId="6FBB74D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od ugovorenog iznosa </w:t>
            </w:r>
          </w:p>
        </w:tc>
      </w:tr>
      <w:tr w:rsidR="00C45EE6" w:rsidRPr="00C45EE6" w14:paraId="7B8D2777" w14:textId="77777777" w:rsidTr="00C30045">
        <w:trPr>
          <w:trHeight w:val="4107"/>
        </w:trPr>
        <w:tc>
          <w:tcPr>
            <w:tcW w:w="254" w:type="pct"/>
            <w:vMerge/>
            <w:tcBorders>
              <w:left w:val="single" w:sz="4" w:space="0" w:color="auto"/>
              <w:bottom w:val="single" w:sz="4" w:space="0" w:color="auto"/>
              <w:right w:val="single" w:sz="4" w:space="0" w:color="auto"/>
            </w:tcBorders>
            <w:vAlign w:val="center"/>
            <w:hideMark/>
          </w:tcPr>
          <w:p w14:paraId="4846B3AA" w14:textId="77777777" w:rsidR="00C45EE6" w:rsidRPr="00C45EE6" w:rsidRDefault="00C45EE6" w:rsidP="00C45EE6">
            <w:pPr>
              <w:spacing w:before="240" w:after="24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5B674A7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4A16D10"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5FE1B582" w14:textId="77777777" w:rsidR="00C45EE6" w:rsidRPr="00C45EE6" w:rsidRDefault="00C45EE6" w:rsidP="00C45EE6">
            <w:pPr>
              <w:widowControl w:val="0"/>
              <w:numPr>
                <w:ilvl w:val="0"/>
                <w:numId w:val="4"/>
              </w:numPr>
              <w:autoSpaceDE w:val="0"/>
              <w:autoSpaceDN w:val="0"/>
              <w:adjustRightInd w:val="0"/>
              <w:spacing w:before="240" w:after="0" w:line="256"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 xml:space="preserve">poziv na nadmetanje je objavljen na nacionalnoj razini (sukladno nacionalnom zakonodavstvu) </w:t>
            </w:r>
          </w:p>
          <w:p w14:paraId="70FD2CFE" w14:textId="77777777" w:rsidR="00C45EE6" w:rsidRPr="00C45EE6" w:rsidRDefault="00C45EE6" w:rsidP="00C45EE6">
            <w:pPr>
              <w:widowControl w:val="0"/>
              <w:numPr>
                <w:ilvl w:val="0"/>
                <w:numId w:val="4"/>
              </w:numPr>
              <w:autoSpaceDE w:val="0"/>
              <w:autoSpaceDN w:val="0"/>
              <w:adjustRightInd w:val="0"/>
              <w:spacing w:before="240" w:after="0" w:line="256"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poštivani su temeljni standardi kod objave poziva na nadmetanje (npr. objavljen je na internetu ili oglasnoj ploči i takva objava pružala je dovoljno informacija zainteresiranim gospodarskim subjektima).</w:t>
            </w:r>
          </w:p>
          <w:p w14:paraId="3BB3F446"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01AEFFC5"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25% (agregirano) od ugovorenog iznosa </w:t>
            </w:r>
          </w:p>
          <w:p w14:paraId="3196CFFB" w14:textId="77777777" w:rsidR="00C45EE6" w:rsidRPr="00C45EE6" w:rsidRDefault="00C45EE6" w:rsidP="00C45EE6">
            <w:pPr>
              <w:spacing w:after="0" w:line="240" w:lineRule="auto"/>
              <w:jc w:val="both"/>
              <w:rPr>
                <w:rFonts w:ascii="Times New Roman" w:eastAsia="Calibri" w:hAnsi="Times New Roman"/>
                <w:sz w:val="20"/>
                <w:szCs w:val="20"/>
              </w:rPr>
            </w:pPr>
          </w:p>
          <w:p w14:paraId="01B5987F" w14:textId="77777777" w:rsidR="00C45EE6" w:rsidRPr="00C45EE6" w:rsidRDefault="00C45EE6" w:rsidP="00C45EE6">
            <w:pPr>
              <w:spacing w:after="0" w:line="240" w:lineRule="auto"/>
              <w:jc w:val="both"/>
              <w:rPr>
                <w:rFonts w:ascii="Times New Roman" w:eastAsia="Calibri" w:hAnsi="Times New Roman"/>
                <w:sz w:val="20"/>
                <w:szCs w:val="20"/>
              </w:rPr>
            </w:pPr>
          </w:p>
          <w:p w14:paraId="2EA7EF1E"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7716B0DC" w14:textId="77777777" w:rsidTr="00C30045">
        <w:trPr>
          <w:trHeight w:val="1554"/>
        </w:trPr>
        <w:tc>
          <w:tcPr>
            <w:tcW w:w="254" w:type="pct"/>
            <w:vMerge w:val="restart"/>
            <w:tcBorders>
              <w:top w:val="single" w:sz="4" w:space="0" w:color="auto"/>
              <w:left w:val="single" w:sz="4" w:space="0" w:color="auto"/>
              <w:right w:val="single" w:sz="4" w:space="0" w:color="auto"/>
            </w:tcBorders>
            <w:vAlign w:val="center"/>
            <w:hideMark/>
          </w:tcPr>
          <w:p w14:paraId="713001B4" w14:textId="77777777" w:rsidR="00C45EE6" w:rsidRPr="00C45EE6" w:rsidRDefault="00C45EE6" w:rsidP="00C45EE6">
            <w:pPr>
              <w:spacing w:before="240" w:after="240" w:line="240" w:lineRule="auto"/>
              <w:jc w:val="center"/>
              <w:rPr>
                <w:rFonts w:ascii="Times New Roman" w:eastAsia="Calibri" w:hAnsi="Times New Roman"/>
                <w:sz w:val="16"/>
                <w:szCs w:val="16"/>
              </w:rPr>
            </w:pPr>
            <w:r w:rsidRPr="00C45EE6">
              <w:rPr>
                <w:rFonts w:ascii="Times New Roman" w:eastAsia="Calibri" w:hAnsi="Times New Roman"/>
                <w:sz w:val="16"/>
                <w:szCs w:val="16"/>
              </w:rPr>
              <w:t>5.</w:t>
            </w:r>
          </w:p>
        </w:tc>
        <w:tc>
          <w:tcPr>
            <w:tcW w:w="997" w:type="pct"/>
            <w:vMerge w:val="restart"/>
            <w:tcBorders>
              <w:top w:val="single" w:sz="4" w:space="0" w:color="auto"/>
              <w:left w:val="single" w:sz="4" w:space="0" w:color="auto"/>
              <w:right w:val="single" w:sz="4" w:space="0" w:color="auto"/>
            </w:tcBorders>
            <w:hideMark/>
          </w:tcPr>
          <w:p w14:paraId="59BE51C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Slučajevi koji ne opravdavaju korištenje natjecateljskog postupka uz pregovore</w:t>
            </w:r>
            <w:r w:rsidRPr="00C45EE6" w:rsidDel="006840C3">
              <w:rPr>
                <w:rFonts w:ascii="Times New Roman" w:eastAsia="Calibri" w:hAnsi="Times New Roman"/>
                <w:sz w:val="20"/>
                <w:szCs w:val="20"/>
              </w:rPr>
              <w:t xml:space="preserve"> </w:t>
            </w:r>
            <w:r w:rsidRPr="00C45EE6">
              <w:rPr>
                <w:rFonts w:ascii="Times New Roman" w:eastAsia="Calibri" w:hAnsi="Times New Roman"/>
                <w:sz w:val="20"/>
                <w:szCs w:val="20"/>
              </w:rPr>
              <w:t>ili natjecateljskog dijaloga</w:t>
            </w:r>
          </w:p>
          <w:p w14:paraId="7554DF3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ili pregovaračkog postupka s </w:t>
            </w:r>
            <w:r w:rsidRPr="00C45EE6">
              <w:rPr>
                <w:rFonts w:ascii="Times New Roman" w:eastAsia="Calibri" w:hAnsi="Times New Roman"/>
                <w:sz w:val="20"/>
                <w:szCs w:val="20"/>
              </w:rPr>
              <w:lastRenderedPageBreak/>
              <w:t>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54052916"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 xml:space="preserve">Ugovor je sklopljen korištenjem navedenih postupaka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650609A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25 % od ugovorenog iznosa </w:t>
            </w:r>
          </w:p>
          <w:p w14:paraId="33AC611F"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574BFD1C" w14:textId="77777777" w:rsidTr="00C30045">
        <w:trPr>
          <w:trHeight w:val="485"/>
        </w:trPr>
        <w:tc>
          <w:tcPr>
            <w:tcW w:w="254" w:type="pct"/>
            <w:vMerge/>
            <w:tcBorders>
              <w:left w:val="single" w:sz="4" w:space="0" w:color="auto"/>
              <w:bottom w:val="single" w:sz="4" w:space="0" w:color="auto"/>
              <w:right w:val="single" w:sz="4" w:space="0" w:color="auto"/>
            </w:tcBorders>
            <w:vAlign w:val="center"/>
          </w:tcPr>
          <w:p w14:paraId="3C8BD684" w14:textId="77777777" w:rsidR="00C45EE6" w:rsidRPr="00C45EE6" w:rsidRDefault="00C45EE6" w:rsidP="00C45EE6">
            <w:pPr>
              <w:spacing w:before="240" w:after="24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tcPr>
          <w:p w14:paraId="5BB163B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F4A39B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Slučajevi u kojima je naručitelj osigurao potpunu transparentnost, uključujući i opravdanje za korištenje tih postupaka u dokumentaciji o nabavi, nije ograničio </w:t>
            </w:r>
            <w:r w:rsidRPr="00C45EE6">
              <w:rPr>
                <w:rFonts w:ascii="Times New Roman" w:eastAsia="Calibri" w:hAnsi="Times New Roman"/>
                <w:sz w:val="20"/>
                <w:szCs w:val="20"/>
              </w:rPr>
              <w:lastRenderedPageBreak/>
              <w:t>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1D94249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 xml:space="preserve">Ispravak se može umanjiti na 10% ili 5 % od ugovorenog iznosa, </w:t>
            </w:r>
            <w:r w:rsidRPr="00C45EE6">
              <w:rPr>
                <w:rFonts w:ascii="Times New Roman" w:eastAsia="Calibri" w:hAnsi="Times New Roman"/>
                <w:sz w:val="20"/>
                <w:szCs w:val="20"/>
              </w:rPr>
              <w:lastRenderedPageBreak/>
              <w:t>ovisno o ozbiljnosti nepravilnosti</w:t>
            </w:r>
          </w:p>
        </w:tc>
      </w:tr>
      <w:tr w:rsidR="00C45EE6" w:rsidRPr="00C45EE6" w14:paraId="1E3826C3" w14:textId="77777777" w:rsidTr="00C30045">
        <w:trPr>
          <w:trHeight w:val="1052"/>
        </w:trPr>
        <w:tc>
          <w:tcPr>
            <w:tcW w:w="254" w:type="pct"/>
            <w:vMerge w:val="restart"/>
            <w:tcBorders>
              <w:top w:val="single" w:sz="4" w:space="0" w:color="auto"/>
              <w:left w:val="single" w:sz="4" w:space="0" w:color="auto"/>
              <w:right w:val="single" w:sz="4" w:space="0" w:color="auto"/>
            </w:tcBorders>
            <w:vAlign w:val="center"/>
            <w:hideMark/>
          </w:tcPr>
          <w:p w14:paraId="1939EF9E"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lastRenderedPageBreak/>
              <w:t>6.</w:t>
            </w:r>
          </w:p>
        </w:tc>
        <w:tc>
          <w:tcPr>
            <w:tcW w:w="997" w:type="pct"/>
            <w:vMerge w:val="restart"/>
            <w:tcBorders>
              <w:top w:val="single" w:sz="4" w:space="0" w:color="auto"/>
              <w:left w:val="single" w:sz="4" w:space="0" w:color="auto"/>
              <w:right w:val="single" w:sz="4" w:space="0" w:color="auto"/>
            </w:tcBorders>
            <w:hideMark/>
          </w:tcPr>
          <w:p w14:paraId="5EAA4F1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6A85B1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3BBCE0F"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Nesukladnost:</w:t>
            </w:r>
          </w:p>
          <w:p w14:paraId="16DCF895"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s rokovima za zaprimanje ponuda,</w:t>
            </w:r>
          </w:p>
          <w:p w14:paraId="36392B85"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s rokovima za zaprimanje zahtjeva za sudjelovanje</w:t>
            </w:r>
          </w:p>
          <w:p w14:paraId="4A475A6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(termin „rokovi“ se odnosi na otvorene postupke, ograničene postupke i natjecateljske postupke uz pregovore)</w:t>
            </w:r>
          </w:p>
          <w:p w14:paraId="2E64913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322C1D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ili</w:t>
            </w:r>
          </w:p>
          <w:p w14:paraId="47743CE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515199A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-propuštanje produljenja rokova za dostavu ponuda 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27F66F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2C9D00E5"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25% od ugovorenog iznosa </w:t>
            </w:r>
          </w:p>
        </w:tc>
      </w:tr>
      <w:tr w:rsidR="00C45EE6" w:rsidRPr="00C45EE6" w14:paraId="15CEF33A" w14:textId="77777777" w:rsidTr="00C30045">
        <w:trPr>
          <w:trHeight w:val="1005"/>
        </w:trPr>
        <w:tc>
          <w:tcPr>
            <w:tcW w:w="254" w:type="pct"/>
            <w:vMerge/>
            <w:tcBorders>
              <w:left w:val="single" w:sz="4" w:space="0" w:color="auto"/>
              <w:right w:val="single" w:sz="4" w:space="0" w:color="auto"/>
            </w:tcBorders>
            <w:vAlign w:val="center"/>
            <w:hideMark/>
          </w:tcPr>
          <w:p w14:paraId="6B33CAF3" w14:textId="77777777" w:rsidR="00C45EE6" w:rsidRPr="00C45EE6" w:rsidRDefault="00C45EE6" w:rsidP="00C45EE6">
            <w:pPr>
              <w:spacing w:after="0" w:line="240" w:lineRule="auto"/>
              <w:jc w:val="right"/>
              <w:rPr>
                <w:rFonts w:ascii="Times New Roman" w:eastAsia="Calibri" w:hAnsi="Times New Roman"/>
                <w:sz w:val="16"/>
                <w:szCs w:val="16"/>
              </w:rPr>
            </w:pPr>
          </w:p>
        </w:tc>
        <w:tc>
          <w:tcPr>
            <w:tcW w:w="997" w:type="pct"/>
            <w:vMerge/>
            <w:tcBorders>
              <w:left w:val="single" w:sz="4" w:space="0" w:color="auto"/>
              <w:right w:val="single" w:sz="4" w:space="0" w:color="auto"/>
            </w:tcBorders>
            <w:vAlign w:val="center"/>
            <w:hideMark/>
          </w:tcPr>
          <w:p w14:paraId="3CFDAA63" w14:textId="77777777" w:rsidR="00C45EE6" w:rsidRPr="00C45EE6" w:rsidRDefault="00C45EE6" w:rsidP="00C45EE6">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A7E7732" w14:textId="77777777" w:rsidR="00C45EE6" w:rsidRPr="00C45EE6" w:rsidDel="005B3B29"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Ako je smanjenje rokova</w:t>
            </w:r>
            <w:r w:rsidRPr="00C45EE6">
              <w:rPr>
                <w:rFonts w:ascii="Times New Roman" w:eastAsia="Calibri" w:hAnsi="Times New Roman"/>
                <w:color w:val="FF0000"/>
                <w:sz w:val="20"/>
                <w:szCs w:val="20"/>
              </w:rPr>
              <w:t xml:space="preserve"> </w:t>
            </w:r>
            <w:r w:rsidRPr="00C45EE6">
              <w:rPr>
                <w:rFonts w:ascii="Times New Roman" w:eastAsia="Calibri" w:hAnsi="Times New Roman"/>
                <w:sz w:val="20"/>
                <w:szCs w:val="20"/>
              </w:rPr>
              <w:t xml:space="preserve">propisanih pravilima o javnoj nabavi ≥ 30%, ali ne prelazi 50% </w:t>
            </w:r>
          </w:p>
          <w:p w14:paraId="10AFB43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FA0C5B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 od ugovorenog iznosa </w:t>
            </w:r>
          </w:p>
        </w:tc>
      </w:tr>
      <w:tr w:rsidR="00C45EE6" w:rsidRPr="00C45EE6" w14:paraId="32A94EC9" w14:textId="77777777" w:rsidTr="00C30045">
        <w:trPr>
          <w:trHeight w:val="1800"/>
        </w:trPr>
        <w:tc>
          <w:tcPr>
            <w:tcW w:w="254" w:type="pct"/>
            <w:vMerge/>
            <w:tcBorders>
              <w:left w:val="single" w:sz="4" w:space="0" w:color="auto"/>
              <w:right w:val="single" w:sz="4" w:space="0" w:color="auto"/>
            </w:tcBorders>
            <w:vAlign w:val="center"/>
            <w:hideMark/>
          </w:tcPr>
          <w:p w14:paraId="3F55AC72" w14:textId="77777777" w:rsidR="00C45EE6" w:rsidRPr="00C45EE6" w:rsidRDefault="00C45EE6" w:rsidP="00C45EE6">
            <w:pPr>
              <w:spacing w:after="0" w:line="240" w:lineRule="auto"/>
              <w:jc w:val="right"/>
              <w:rPr>
                <w:rFonts w:ascii="Times New Roman" w:eastAsia="Calibri" w:hAnsi="Times New Roman"/>
                <w:sz w:val="16"/>
                <w:szCs w:val="16"/>
              </w:rPr>
            </w:pPr>
          </w:p>
        </w:tc>
        <w:tc>
          <w:tcPr>
            <w:tcW w:w="997" w:type="pct"/>
            <w:vMerge/>
            <w:tcBorders>
              <w:left w:val="single" w:sz="4" w:space="0" w:color="auto"/>
              <w:right w:val="single" w:sz="4" w:space="0" w:color="auto"/>
            </w:tcBorders>
            <w:vAlign w:val="center"/>
            <w:hideMark/>
          </w:tcPr>
          <w:p w14:paraId="54C569FA" w14:textId="77777777" w:rsidR="00C45EE6" w:rsidRPr="00C45EE6" w:rsidRDefault="00C45EE6" w:rsidP="00C45EE6">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47F907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trike/>
                <w:sz w:val="20"/>
                <w:szCs w:val="20"/>
              </w:rPr>
            </w:pPr>
            <w:r w:rsidRPr="00C45EE6">
              <w:rPr>
                <w:rFonts w:ascii="Times New Roman" w:eastAsia="Calibri" w:hAnsi="Times New Roman"/>
                <w:sz w:val="20"/>
                <w:szCs w:val="20"/>
              </w:rPr>
              <w:t xml:space="preserve">Ako je smanjenje rokova propisanih pravilima o javnoj nabavi &lt; od 30% </w:t>
            </w:r>
          </w:p>
        </w:tc>
        <w:tc>
          <w:tcPr>
            <w:tcW w:w="1247" w:type="pct"/>
            <w:tcBorders>
              <w:top w:val="single" w:sz="4" w:space="0" w:color="auto"/>
              <w:left w:val="single" w:sz="4" w:space="0" w:color="auto"/>
              <w:bottom w:val="single" w:sz="4" w:space="0" w:color="auto"/>
              <w:right w:val="single" w:sz="4" w:space="0" w:color="auto"/>
            </w:tcBorders>
            <w:hideMark/>
          </w:tcPr>
          <w:p w14:paraId="1CD6B7C5"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Ispravak se može smanjiti na 5% </w:t>
            </w:r>
            <w:r w:rsidRPr="00C45EE6" w:rsidDel="009B50DE">
              <w:rPr>
                <w:rFonts w:ascii="Times New Roman" w:eastAsia="Calibri" w:hAnsi="Times New Roman"/>
                <w:sz w:val="20"/>
                <w:szCs w:val="20"/>
              </w:rPr>
              <w:t>od ugovorenog iznosa</w:t>
            </w:r>
            <w:r w:rsidRPr="00C45EE6">
              <w:rPr>
                <w:rFonts w:ascii="Times New Roman" w:eastAsia="Calibri" w:hAnsi="Times New Roman"/>
                <w:sz w:val="20"/>
                <w:szCs w:val="20"/>
              </w:rPr>
              <w:t>, odnosno 2% u iznimnim i opravdanim slučajevima</w:t>
            </w:r>
          </w:p>
          <w:p w14:paraId="7454C86B" w14:textId="77777777" w:rsidR="00C45EE6" w:rsidRPr="00C45EE6" w:rsidRDefault="00C45EE6" w:rsidP="00C45EE6">
            <w:pPr>
              <w:spacing w:after="0" w:line="240" w:lineRule="auto"/>
              <w:jc w:val="both"/>
              <w:rPr>
                <w:rFonts w:ascii="Times New Roman" w:eastAsia="Calibri" w:hAnsi="Times New Roman"/>
                <w:sz w:val="20"/>
                <w:szCs w:val="20"/>
              </w:rPr>
            </w:pPr>
          </w:p>
          <w:p w14:paraId="7399B87D" w14:textId="77777777" w:rsidR="00C45EE6" w:rsidRPr="00C45EE6" w:rsidRDefault="00C45EE6" w:rsidP="00C45EE6">
            <w:pPr>
              <w:spacing w:after="0" w:line="240" w:lineRule="auto"/>
              <w:jc w:val="both"/>
              <w:rPr>
                <w:rFonts w:ascii="Times New Roman" w:eastAsia="Calibri" w:hAnsi="Times New Roman"/>
                <w:sz w:val="20"/>
                <w:szCs w:val="20"/>
              </w:rPr>
            </w:pPr>
          </w:p>
          <w:p w14:paraId="6B478AEB"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4E94ECDF" w14:textId="77777777" w:rsidTr="00C3004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44040C6"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7.</w:t>
            </w:r>
          </w:p>
        </w:tc>
        <w:tc>
          <w:tcPr>
            <w:tcW w:w="997" w:type="pct"/>
            <w:vMerge w:val="restart"/>
            <w:tcBorders>
              <w:top w:val="single" w:sz="4" w:space="0" w:color="auto"/>
              <w:left w:val="single" w:sz="4" w:space="0" w:color="auto"/>
              <w:bottom w:val="single" w:sz="4" w:space="0" w:color="auto"/>
              <w:right w:val="single" w:sz="4" w:space="0" w:color="auto"/>
            </w:tcBorders>
            <w:hideMark/>
          </w:tcPr>
          <w:p w14:paraId="5001B7E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Nedostatno vrijeme potencijalnim ponuditeljima/natjecateljima za dobivanje dokumentacije o nabavi</w:t>
            </w:r>
          </w:p>
          <w:p w14:paraId="6CF9202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ili</w:t>
            </w:r>
          </w:p>
          <w:p w14:paraId="2C53BFC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ograničenja vezana uz pribavljanje dokumentacije o nabavi</w:t>
            </w:r>
          </w:p>
          <w:p w14:paraId="23F10AF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713D644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Ako je elektronički pristup natječajnoj dokumentaciji bio moguć, ali su rokovi za pristup skraćeni, primjenjuju se stope financijskih korekcija od 25%, 10% ili 5% u skladu </w:t>
            </w:r>
            <w:r w:rsidRPr="00C45EE6">
              <w:rPr>
                <w:rFonts w:ascii="Times New Roman" w:eastAsia="Calibri" w:hAnsi="Times New Roman"/>
                <w:sz w:val="20"/>
                <w:szCs w:val="20"/>
              </w:rPr>
              <w:lastRenderedPageBreak/>
              <w:t>s opisima nepravilnostima iz ove točke</w:t>
            </w:r>
          </w:p>
          <w:p w14:paraId="5B3C5EB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36098BF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74C1AAA" w14:textId="77777777" w:rsidR="00C45EE6" w:rsidRPr="00C45EE6" w:rsidRDefault="00C45EE6" w:rsidP="00C45EE6">
            <w:pPr>
              <w:spacing w:after="160" w:line="259"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C45EE6">
              <w:rPr>
                <w:rFonts w:ascii="Times New Roman" w:eastAsia="Calibri" w:hAnsi="Times New Roman"/>
                <w:sz w:val="20"/>
                <w:szCs w:val="20"/>
              </w:rPr>
              <w:tab/>
            </w:r>
          </w:p>
          <w:p w14:paraId="2DA7B69D" w14:textId="77777777" w:rsidR="00C45EE6" w:rsidRPr="00C45EE6" w:rsidRDefault="00C45EE6" w:rsidP="00C45EE6">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6156A1F"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25% od ugovorenog iznosa </w:t>
            </w:r>
          </w:p>
        </w:tc>
      </w:tr>
      <w:tr w:rsidR="00C45EE6" w:rsidRPr="00C45EE6" w14:paraId="423E5331" w14:textId="77777777" w:rsidTr="00C3004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24FF709" w14:textId="77777777" w:rsidR="00C45EE6" w:rsidRPr="00C45EE6" w:rsidRDefault="00C45EE6" w:rsidP="00C45EE6">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0C4EDD0" w14:textId="77777777" w:rsidR="00C45EE6" w:rsidRPr="00C45EE6" w:rsidRDefault="00C45EE6" w:rsidP="00C45EE6">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DE3FA5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5E08854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07EE816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3E779F3"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 od ugovorenog iznosa </w:t>
            </w:r>
          </w:p>
        </w:tc>
      </w:tr>
      <w:tr w:rsidR="00C45EE6" w:rsidRPr="00C45EE6" w14:paraId="699B0779" w14:textId="77777777" w:rsidTr="00C3004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C0A5890" w14:textId="77777777" w:rsidR="00C45EE6" w:rsidRPr="00C45EE6" w:rsidRDefault="00C45EE6" w:rsidP="00C45EE6">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63F47D61" w14:textId="77777777" w:rsidR="00C45EE6" w:rsidRPr="00C45EE6" w:rsidRDefault="00C45EE6" w:rsidP="00C45EE6">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7ACFD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Rok koji potencijalni ponuditelji/natjecatelji imaju za dobivanje dokumentacije za nadmetanje je skraćen ≤ 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383A67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5% od ugovorenog iznosa</w:t>
            </w:r>
          </w:p>
          <w:p w14:paraId="2C963B1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A66822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 </w:t>
            </w:r>
          </w:p>
        </w:tc>
      </w:tr>
      <w:tr w:rsidR="00C45EE6" w:rsidRPr="00C45EE6" w14:paraId="47B9411E" w14:textId="77777777" w:rsidTr="00C30045">
        <w:trPr>
          <w:trHeight w:val="4030"/>
        </w:trPr>
        <w:tc>
          <w:tcPr>
            <w:tcW w:w="254" w:type="pct"/>
            <w:vMerge w:val="restart"/>
            <w:tcBorders>
              <w:top w:val="single" w:sz="4" w:space="0" w:color="auto"/>
              <w:left w:val="single" w:sz="4" w:space="0" w:color="auto"/>
              <w:right w:val="single" w:sz="4" w:space="0" w:color="auto"/>
            </w:tcBorders>
            <w:vAlign w:val="center"/>
            <w:hideMark/>
          </w:tcPr>
          <w:p w14:paraId="7B7AA4D7" w14:textId="77777777" w:rsidR="00C45EE6" w:rsidRPr="00C45EE6" w:rsidRDefault="00C45EE6" w:rsidP="00C45EE6">
            <w:pPr>
              <w:spacing w:before="240"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8.</w:t>
            </w:r>
          </w:p>
        </w:tc>
        <w:tc>
          <w:tcPr>
            <w:tcW w:w="997" w:type="pct"/>
            <w:vMerge w:val="restart"/>
            <w:tcBorders>
              <w:top w:val="single" w:sz="4" w:space="0" w:color="auto"/>
              <w:left w:val="single" w:sz="4" w:space="0" w:color="auto"/>
              <w:right w:val="single" w:sz="4" w:space="0" w:color="auto"/>
            </w:tcBorders>
            <w:hideMark/>
          </w:tcPr>
          <w:p w14:paraId="2B12BDE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Izostanak objave produljenja rokova za zaprimanje ponuda/zahtjeva za sudjelovanje </w:t>
            </w:r>
          </w:p>
          <w:p w14:paraId="090CDD4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D91BEC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ili</w:t>
            </w:r>
          </w:p>
          <w:p w14:paraId="6B50341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7EEBAD8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326DC77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Produljenje rokova ni na koji način nije javno objavljeno niti je bilo dostupno gospodarskim subjektima na neki drugi način (vidi nepravilnost pod br. 3)</w:t>
            </w:r>
          </w:p>
          <w:p w14:paraId="388A514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                                                                                                                                                                                                                 ili </w:t>
            </w:r>
          </w:p>
          <w:p w14:paraId="2D5D3FA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D60A7B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300FD9F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slučaju ubrzanog postupka  najkasnije tijekom četvrtog dana prije roka određenog za dostavu zahtjeva za sudjelovanje i ponuda).</w:t>
            </w:r>
          </w:p>
          <w:p w14:paraId="6B29F6E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3F1E6C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322EC7F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10% ili 5% od ugovorenog iznosa, ovisno o ozbiljnosti nepravilnosti</w:t>
            </w:r>
          </w:p>
        </w:tc>
      </w:tr>
      <w:tr w:rsidR="00C45EE6" w:rsidRPr="00C45EE6" w14:paraId="2194FFEB" w14:textId="77777777" w:rsidTr="00C30045">
        <w:trPr>
          <w:trHeight w:val="2412"/>
        </w:trPr>
        <w:tc>
          <w:tcPr>
            <w:tcW w:w="254" w:type="pct"/>
            <w:vMerge/>
            <w:tcBorders>
              <w:top w:val="single" w:sz="4" w:space="0" w:color="auto"/>
              <w:left w:val="single" w:sz="4" w:space="0" w:color="auto"/>
              <w:right w:val="single" w:sz="4" w:space="0" w:color="auto"/>
            </w:tcBorders>
            <w:vAlign w:val="center"/>
          </w:tcPr>
          <w:p w14:paraId="2903EA33" w14:textId="77777777" w:rsidR="00C45EE6" w:rsidRPr="00C45EE6" w:rsidRDefault="00C45EE6" w:rsidP="00C45EE6">
            <w:pPr>
              <w:spacing w:before="240"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right w:val="single" w:sz="4" w:space="0" w:color="auto"/>
            </w:tcBorders>
          </w:tcPr>
          <w:p w14:paraId="163C794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2904541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261B711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05CD6A2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bottom w:val="single" w:sz="4" w:space="0" w:color="auto"/>
              <w:right w:val="single" w:sz="4" w:space="0" w:color="auto"/>
            </w:tcBorders>
          </w:tcPr>
          <w:p w14:paraId="346F0163" w14:textId="77777777" w:rsidR="00C45EE6" w:rsidRPr="00C45EE6" w:rsidDel="00577C65"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5% od ugovorenog iznosa, odnosno 2% u iznimnim i opravdanim slučajevima</w:t>
            </w:r>
          </w:p>
        </w:tc>
      </w:tr>
      <w:tr w:rsidR="00C45EE6" w:rsidRPr="00C45EE6" w14:paraId="134A6E92" w14:textId="77777777" w:rsidTr="00C30045">
        <w:trPr>
          <w:trHeight w:val="4370"/>
        </w:trPr>
        <w:tc>
          <w:tcPr>
            <w:tcW w:w="254" w:type="pct"/>
            <w:tcBorders>
              <w:top w:val="single" w:sz="4" w:space="0" w:color="auto"/>
              <w:left w:val="single" w:sz="4" w:space="0" w:color="auto"/>
              <w:right w:val="single" w:sz="4" w:space="0" w:color="auto"/>
            </w:tcBorders>
            <w:vAlign w:val="center"/>
          </w:tcPr>
          <w:p w14:paraId="6C2AA2C0" w14:textId="77777777" w:rsidR="00C45EE6" w:rsidRPr="00C45EE6" w:rsidRDefault="00C45EE6" w:rsidP="00C45EE6">
            <w:pPr>
              <w:spacing w:before="240"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9.</w:t>
            </w:r>
          </w:p>
        </w:tc>
        <w:tc>
          <w:tcPr>
            <w:tcW w:w="997" w:type="pct"/>
            <w:tcBorders>
              <w:top w:val="single" w:sz="4" w:space="0" w:color="auto"/>
              <w:left w:val="single" w:sz="4" w:space="0" w:color="auto"/>
              <w:right w:val="single" w:sz="4" w:space="0" w:color="auto"/>
            </w:tcBorders>
          </w:tcPr>
          <w:p w14:paraId="3AB28B6C" w14:textId="77777777" w:rsidR="00C45EE6" w:rsidRPr="00C45EE6" w:rsidRDefault="00C45EE6" w:rsidP="00C45EE6">
            <w:pPr>
              <w:spacing w:after="160" w:line="259" w:lineRule="auto"/>
              <w:jc w:val="both"/>
              <w:rPr>
                <w:rFonts w:ascii="Times New Roman" w:eastAsia="Calibri" w:hAnsi="Times New Roman"/>
                <w:sz w:val="20"/>
                <w:szCs w:val="20"/>
              </w:rPr>
            </w:pPr>
            <w:r w:rsidRPr="00C45EE6">
              <w:rPr>
                <w:rFonts w:ascii="Times New Roman" w:eastAsia="Calibri" w:hAnsi="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6E9B88D2" w14:textId="77777777" w:rsidR="00C45EE6" w:rsidRPr="00C45EE6" w:rsidRDefault="00C45EE6" w:rsidP="00C45EE6">
            <w:pPr>
              <w:spacing w:after="160" w:line="259" w:lineRule="auto"/>
              <w:jc w:val="both"/>
              <w:rPr>
                <w:rFonts w:ascii="Times New Roman" w:eastAsia="Calibri" w:hAnsi="Times New Roman"/>
                <w:sz w:val="20"/>
                <w:szCs w:val="20"/>
              </w:rPr>
            </w:pPr>
          </w:p>
          <w:p w14:paraId="5FDCD148" w14:textId="77777777" w:rsidR="00C45EE6" w:rsidRPr="00C45EE6" w:rsidRDefault="00C45EE6" w:rsidP="00C45EE6">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35558DB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25% od ugovorenog iznosa kada je nesukladnost s procedurama dovela do sklapanja ugovora sa ponuditeljem koji ne bi bio odabran</w:t>
            </w:r>
          </w:p>
          <w:p w14:paraId="2E29DE0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73674E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svakom drugom slučaju financijski ispravak se može smanjiti na 10% ili 5%, ovisno o ozbiljnosti nepravilnosti</w:t>
            </w:r>
          </w:p>
          <w:p w14:paraId="1F2F7FA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7C4143A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ECCF53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7E75A8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187CA8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171515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r>
      <w:tr w:rsidR="00C45EE6" w:rsidRPr="00C45EE6" w14:paraId="0C85120C" w14:textId="77777777" w:rsidTr="00C3004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9808319" w14:textId="77777777" w:rsidR="00C45EE6" w:rsidRPr="00C45EE6" w:rsidRDefault="00C45EE6" w:rsidP="00C45EE6">
            <w:pPr>
              <w:spacing w:before="240" w:after="0" w:line="240" w:lineRule="auto"/>
              <w:jc w:val="center"/>
              <w:rPr>
                <w:rFonts w:ascii="Times New Roman" w:eastAsia="Calibri" w:hAnsi="Times New Roman"/>
                <w:sz w:val="16"/>
                <w:szCs w:val="16"/>
                <w:highlight w:val="yellow"/>
              </w:rPr>
            </w:pPr>
            <w:r w:rsidRPr="00C45EE6">
              <w:rPr>
                <w:rFonts w:ascii="Times New Roman" w:eastAsia="Calibri" w:hAnsi="Times New Roman"/>
                <w:sz w:val="16"/>
                <w:szCs w:val="16"/>
              </w:rPr>
              <w:lastRenderedPageBreak/>
              <w:t>10.</w:t>
            </w:r>
          </w:p>
        </w:tc>
        <w:tc>
          <w:tcPr>
            <w:tcW w:w="997" w:type="pct"/>
            <w:vMerge w:val="restart"/>
            <w:tcBorders>
              <w:top w:val="single" w:sz="4" w:space="0" w:color="auto"/>
              <w:left w:val="single" w:sz="4" w:space="0" w:color="auto"/>
              <w:bottom w:val="single" w:sz="4" w:space="0" w:color="auto"/>
              <w:right w:val="single" w:sz="4" w:space="0" w:color="auto"/>
            </w:tcBorders>
            <w:hideMark/>
          </w:tcPr>
          <w:p w14:paraId="4232286E" w14:textId="77777777" w:rsidR="00C45EE6" w:rsidRPr="00C45EE6" w:rsidRDefault="00C45EE6" w:rsidP="00C45EE6">
            <w:pPr>
              <w:spacing w:after="160" w:line="259" w:lineRule="auto"/>
              <w:jc w:val="both"/>
              <w:rPr>
                <w:rFonts w:ascii="Times New Roman" w:eastAsia="Calibri" w:hAnsi="Times New Roman"/>
                <w:sz w:val="20"/>
                <w:szCs w:val="20"/>
              </w:rPr>
            </w:pPr>
            <w:r w:rsidRPr="00C45EE6">
              <w:rPr>
                <w:rFonts w:ascii="Times New Roman" w:eastAsia="Calibri" w:hAnsi="Times New Roman"/>
                <w:sz w:val="20"/>
                <w:szCs w:val="20"/>
              </w:rPr>
              <w:t>Izostanak objave odnosno nenavođenje razloga za isključenje</w:t>
            </w:r>
          </w:p>
          <w:p w14:paraId="1945CF57" w14:textId="77777777" w:rsidR="00C45EE6" w:rsidRPr="00C45EE6" w:rsidRDefault="00C45EE6" w:rsidP="00C45EE6">
            <w:pPr>
              <w:spacing w:after="160" w:line="259" w:lineRule="auto"/>
              <w:jc w:val="both"/>
              <w:rPr>
                <w:rFonts w:ascii="Times New Roman" w:eastAsia="Calibri" w:hAnsi="Times New Roman"/>
                <w:sz w:val="20"/>
                <w:szCs w:val="20"/>
              </w:rPr>
            </w:pPr>
          </w:p>
          <w:p w14:paraId="26300C1B" w14:textId="77777777" w:rsidR="00C45EE6" w:rsidRPr="00C45EE6" w:rsidRDefault="00C45EE6" w:rsidP="00C45EE6">
            <w:pPr>
              <w:spacing w:after="160" w:line="259" w:lineRule="auto"/>
              <w:jc w:val="both"/>
              <w:rPr>
                <w:rFonts w:ascii="Times New Roman" w:eastAsia="Calibri" w:hAnsi="Times New Roman"/>
                <w:sz w:val="20"/>
                <w:szCs w:val="20"/>
              </w:rPr>
            </w:pPr>
            <w:r w:rsidRPr="00C45EE6">
              <w:rPr>
                <w:rFonts w:ascii="Times New Roman" w:eastAsia="Calibri" w:hAnsi="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1C4D36EF" w14:textId="77777777" w:rsidR="00C45EE6" w:rsidRPr="00C45EE6" w:rsidRDefault="00C45EE6" w:rsidP="00C45EE6">
            <w:pPr>
              <w:spacing w:after="160" w:line="259" w:lineRule="auto"/>
              <w:jc w:val="both"/>
              <w:rPr>
                <w:rFonts w:ascii="Times New Roman" w:eastAsia="Calibri" w:hAnsi="Times New Roman"/>
                <w:sz w:val="20"/>
                <w:szCs w:val="20"/>
              </w:rPr>
            </w:pPr>
            <w:r w:rsidRPr="00C45EE6">
              <w:rPr>
                <w:rFonts w:ascii="Times New Roman" w:eastAsia="Calibri" w:hAnsi="Times New Roman"/>
                <w:sz w:val="20"/>
                <w:szCs w:val="20"/>
              </w:rPr>
              <w:t xml:space="preserve">                                                                                    ili</w:t>
            </w:r>
          </w:p>
          <w:p w14:paraId="59414178" w14:textId="77777777" w:rsidR="00C45EE6" w:rsidRPr="00C45EE6" w:rsidRDefault="00C45EE6" w:rsidP="00C45EE6">
            <w:pPr>
              <w:spacing w:after="160" w:line="259" w:lineRule="auto"/>
              <w:jc w:val="both"/>
              <w:rPr>
                <w:rFonts w:ascii="Times New Roman" w:eastAsia="Calibri" w:hAnsi="Times New Roman"/>
                <w:sz w:val="20"/>
                <w:szCs w:val="20"/>
              </w:rPr>
            </w:pPr>
            <w:r w:rsidRPr="00C45EE6">
              <w:rPr>
                <w:rFonts w:ascii="Times New Roman" w:eastAsia="Calibri" w:hAnsi="Times New Roman"/>
                <w:sz w:val="20"/>
                <w:szCs w:val="20"/>
              </w:rPr>
              <w:t xml:space="preserve">                                                                                        kada uvjeti za odabir ponude ili uvjeti za odabir gospodarskog subjekta te njihovo ponderiranje nisu dovoljno detaljno opisani ili su nejasni                                            </w:t>
            </w:r>
          </w:p>
          <w:p w14:paraId="37797FD9" w14:textId="77777777" w:rsidR="00C45EE6" w:rsidRPr="00C45EE6" w:rsidRDefault="00C45EE6" w:rsidP="00C45EE6">
            <w:pPr>
              <w:spacing w:after="160" w:line="259" w:lineRule="auto"/>
              <w:jc w:val="both"/>
              <w:rPr>
                <w:rFonts w:ascii="Times New Roman" w:eastAsia="Calibri" w:hAnsi="Times New Roman"/>
                <w:sz w:val="20"/>
                <w:szCs w:val="20"/>
              </w:rPr>
            </w:pPr>
          </w:p>
          <w:p w14:paraId="4B2A66D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34B86375"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pozivu na nadmetanje ili u dokumentaciji o nabavi kada se ona objavljuje istodobno s pozivom na nadmetanje nisu navedeni kriteriji  za odabir ponude i njihovi ponderi</w:t>
            </w:r>
            <w:r w:rsidRPr="00C45EE6">
              <w:rPr>
                <w:rFonts w:ascii="Times New Roman" w:eastAsia="Calibri" w:hAnsi="Times New Roman"/>
                <w:sz w:val="20"/>
                <w:szCs w:val="20"/>
                <w:vertAlign w:val="superscript"/>
              </w:rPr>
              <w:footnoteReference w:id="6"/>
            </w:r>
            <w:r w:rsidRPr="00C45EE6">
              <w:rPr>
                <w:rFonts w:ascii="Times New Roman" w:eastAsia="Calibri" w:hAnsi="Times New Roman"/>
                <w:sz w:val="20"/>
                <w:szCs w:val="20"/>
              </w:rPr>
              <w:t xml:space="preserve"> ili u dokumentaciji o nabavi nisu navedeni razlozi za isključenje.</w:t>
            </w:r>
          </w:p>
          <w:p w14:paraId="20CC441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575BFB5E" w14:textId="77777777" w:rsidR="00C45EE6" w:rsidRPr="00C45EE6" w:rsidRDefault="00C45EE6" w:rsidP="00C45EE6">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7EC7320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25% od ugovorenog iznosa</w:t>
            </w:r>
          </w:p>
          <w:p w14:paraId="3AD6C0B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5BACBABF"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r>
      <w:tr w:rsidR="00C45EE6" w:rsidRPr="00C45EE6" w14:paraId="4AEDC89B" w14:textId="77777777" w:rsidTr="00C3004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81215F9" w14:textId="77777777" w:rsidR="00C45EE6" w:rsidRPr="00C45EE6" w:rsidRDefault="00C45EE6" w:rsidP="00C45EE6">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8E1D377" w14:textId="77777777" w:rsidR="00C45EE6" w:rsidRPr="00C45EE6" w:rsidRDefault="00C45EE6" w:rsidP="00C45EE6">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A7A463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U pozivu na nadmetanje ili u dokumentaciji o nabavi kada se ona objavljuje istodobno s pozivom na nadmetanje nisu                                                                                     </w:t>
            </w:r>
          </w:p>
          <w:p w14:paraId="2FE35DA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a) navedeni uvjeti za izvršenje ugovora ili tehničke specifikacije </w:t>
            </w:r>
          </w:p>
          <w:p w14:paraId="408BBA3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b) nisu dovoljno opisani uvjeti za odabir ponude te njihovo ponderiranje ili uvjeti za odabir gospodarskog subjekta, što je dovelo do neopravdanog ograničavanja tržišnog natjecanja (kada je ovaj nedostatak mogao dovesti do odvraćanja potencijalnih ponuditelja ) </w:t>
            </w:r>
          </w:p>
          <w:p w14:paraId="4B728EF7"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c) objašnjenja i dodatne informacije (/kriterije za odabir ponude) od strane javnog naručitelja nisu objavljene ili nisu dostupne svim ponuditeljima.</w:t>
            </w:r>
          </w:p>
          <w:p w14:paraId="04E3772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55F738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10% ili 5% od ugovorenog iznosa, ovisno o ozbiljnosti nepravilnosti</w:t>
            </w:r>
          </w:p>
          <w:p w14:paraId="59DEEF42" w14:textId="77777777" w:rsidR="00C45EE6" w:rsidRPr="00C45EE6" w:rsidRDefault="00C45EE6" w:rsidP="00C45EE6">
            <w:pPr>
              <w:spacing w:after="0" w:line="240" w:lineRule="auto"/>
              <w:jc w:val="both"/>
              <w:rPr>
                <w:rFonts w:ascii="Times New Roman" w:eastAsia="Calibri" w:hAnsi="Times New Roman"/>
                <w:sz w:val="20"/>
                <w:szCs w:val="20"/>
              </w:rPr>
            </w:pPr>
          </w:p>
          <w:p w14:paraId="588D972F"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r>
      <w:tr w:rsidR="00C45EE6" w:rsidRPr="00C45EE6" w14:paraId="64950AF8" w14:textId="77777777" w:rsidTr="00C30045">
        <w:tc>
          <w:tcPr>
            <w:tcW w:w="254" w:type="pct"/>
            <w:tcBorders>
              <w:top w:val="single" w:sz="4" w:space="0" w:color="auto"/>
              <w:left w:val="single" w:sz="4" w:space="0" w:color="auto"/>
              <w:bottom w:val="single" w:sz="4" w:space="0" w:color="auto"/>
              <w:right w:val="single" w:sz="4" w:space="0" w:color="auto"/>
            </w:tcBorders>
            <w:vAlign w:val="center"/>
            <w:hideMark/>
          </w:tcPr>
          <w:p w14:paraId="1F35B6AE"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11.</w:t>
            </w:r>
          </w:p>
        </w:tc>
        <w:tc>
          <w:tcPr>
            <w:tcW w:w="997" w:type="pct"/>
            <w:tcBorders>
              <w:top w:val="single" w:sz="4" w:space="0" w:color="auto"/>
              <w:left w:val="single" w:sz="4" w:space="0" w:color="auto"/>
              <w:bottom w:val="single" w:sz="4" w:space="0" w:color="auto"/>
              <w:right w:val="single" w:sz="4" w:space="0" w:color="auto"/>
            </w:tcBorders>
            <w:hideMark/>
          </w:tcPr>
          <w:p w14:paraId="6AADF8E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Nedovoljan ili neprecizan opis predmeta nabave</w:t>
            </w:r>
            <w:r w:rsidRPr="00C45EE6">
              <w:rPr>
                <w:rFonts w:ascii="Times New Roman" w:eastAsia="Calibri" w:hAnsi="Times New Roman"/>
                <w:sz w:val="20"/>
                <w:szCs w:val="20"/>
                <w:vertAlign w:val="superscript"/>
              </w:rPr>
              <w:footnoteReference w:id="7"/>
            </w:r>
            <w:r w:rsidRPr="00C45EE6">
              <w:rPr>
                <w:rFonts w:ascii="Times New Roman" w:eastAsia="Calibri" w:hAnsi="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2F3322B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Opis predmeta nabave u pozivu na nadmetanje /dokumentaciji o nabavi (tehničke specifikacije) je nedovoljan da bi potencijalni ponuditelji mogli bez dvojbi odrediti predmet nabave, a za posljedicu ima odvraćajući učinak i ograničenje tržišnog natjecanja.  </w:t>
            </w:r>
          </w:p>
          <w:p w14:paraId="57C6B98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7DC8C9C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1AF1F80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FC47CC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FF2E70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10% ili 5% od ugovorenog iznosa, ovisno o ozbiljnosti nepravilnosti</w:t>
            </w:r>
          </w:p>
        </w:tc>
      </w:tr>
      <w:tr w:rsidR="00C45EE6" w:rsidRPr="00C45EE6" w14:paraId="139134D6" w14:textId="77777777" w:rsidTr="00C30045">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44D2C4BA"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12.</w:t>
            </w:r>
          </w:p>
        </w:tc>
        <w:tc>
          <w:tcPr>
            <w:tcW w:w="997" w:type="pct"/>
            <w:tcBorders>
              <w:top w:val="single" w:sz="4" w:space="0" w:color="auto"/>
              <w:left w:val="single" w:sz="4" w:space="0" w:color="auto"/>
              <w:bottom w:val="single" w:sz="4" w:space="0" w:color="auto"/>
              <w:right w:val="single" w:sz="4" w:space="0" w:color="auto"/>
            </w:tcBorders>
          </w:tcPr>
          <w:p w14:paraId="64D1FE57" w14:textId="77777777" w:rsidR="00C45EE6" w:rsidRPr="00C45EE6" w:rsidRDefault="00C45EE6" w:rsidP="00C45EE6">
            <w:pPr>
              <w:spacing w:after="0" w:line="240" w:lineRule="auto"/>
              <w:jc w:val="center"/>
              <w:rPr>
                <w:rFonts w:ascii="Times New Roman" w:eastAsia="Calibri" w:hAnsi="Times New Roman"/>
                <w:sz w:val="20"/>
                <w:szCs w:val="20"/>
              </w:rPr>
            </w:pPr>
          </w:p>
          <w:p w14:paraId="67174996"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Upotreba kriterija za odabir gospodarskog subjekta, kriterija za isključenje gospodarskog subjekta, kriterija za odabir ponude ili uvjeta za izvršenje ugovora ili tehničkih specifikacija na diskriminatoran način po nacionalnoj, regionalnoj ili lokalnoj osnovi</w:t>
            </w:r>
            <w:r w:rsidRPr="00C45EE6" w:rsidDel="005C7ECF">
              <w:rPr>
                <w:rFonts w:ascii="Times New Roman" w:eastAsia="Calibri" w:hAnsi="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036EF49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                                                                                      </w:t>
            </w:r>
          </w:p>
          <w:p w14:paraId="52AAB47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Kriteriji za odabir gospodarskog subjekta (uvjeti sposobnosti) i/ili kriteriji za odabir ponude koje ponuditelj mora ispuniti nisu povezani ili nisu razmjerni predmetu nabave pa se tako, </w:t>
            </w:r>
            <w:r w:rsidRPr="00C45EE6">
              <w:rPr>
                <w:rFonts w:ascii="Times New Roman" w:eastAsia="Calibri" w:hAnsi="Times New Roman"/>
                <w:sz w:val="20"/>
                <w:szCs w:val="20"/>
                <w:u w:val="single"/>
              </w:rPr>
              <w:t>na diskriminatoran način</w:t>
            </w:r>
            <w:r w:rsidRPr="00C45EE6">
              <w:rPr>
                <w:rFonts w:ascii="Times New Roman" w:eastAsia="Calibri" w:hAnsi="Times New Roman"/>
                <w:sz w:val="20"/>
                <w:szCs w:val="20"/>
              </w:rPr>
              <w:t xml:space="preserve">, ne osigurava jednaka mogućnost za sve ponuditelje ili se time stvaraju nepotrebne prepreke koje sprječavaju konkurentnost javne nabave. </w:t>
            </w:r>
          </w:p>
          <w:p w14:paraId="79DA81CF"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EB2EC1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Navedeno uključuje, ali nije ograničeno na slučajeve: </w:t>
            </w:r>
          </w:p>
          <w:p w14:paraId="41172A6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podugovaratelja,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30C2B6A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38E589C5"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eastAsia="Calibri"/>
              </w:rPr>
              <w:t xml:space="preserve">- </w:t>
            </w:r>
            <w:r w:rsidRPr="00C45EE6">
              <w:rPr>
                <w:rFonts w:ascii="Times New Roman" w:eastAsia="Calibri" w:hAnsi="Times New Roman"/>
                <w:sz w:val="20"/>
                <w:szCs w:val="20"/>
              </w:rPr>
              <w:t>kada se u trenutku podnošenja ponude  zahtijeva:</w:t>
            </w:r>
          </w:p>
          <w:p w14:paraId="58E31C6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a) poslovni nastan ili predstavnik u državi ili regiji;                                                                           b) iskustvo i/ili kvalifikacije ponuditelja u državi ili regiji;  </w:t>
            </w:r>
          </w:p>
          <w:p w14:paraId="1BC4E94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c) zahtjev da ponuditelj posjeduje opremu u državi ili regiji.</w:t>
            </w:r>
          </w:p>
          <w:p w14:paraId="6C36A83A" w14:textId="77777777" w:rsidR="00C45EE6" w:rsidRPr="00C45EE6" w:rsidRDefault="00C45EE6" w:rsidP="00C45EE6">
            <w:pPr>
              <w:autoSpaceDE w:val="0"/>
              <w:autoSpaceDN w:val="0"/>
              <w:adjustRightInd w:val="0"/>
              <w:spacing w:before="240"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07E0ABF0" w14:textId="77777777" w:rsidR="00C45EE6" w:rsidRPr="00C45EE6" w:rsidRDefault="00C45EE6" w:rsidP="00C45EE6">
            <w:pPr>
              <w:spacing w:after="0" w:line="240" w:lineRule="auto"/>
              <w:rPr>
                <w:rFonts w:ascii="Times New Roman" w:eastAsia="Calibri" w:hAnsi="Times New Roman"/>
                <w:sz w:val="20"/>
                <w:szCs w:val="20"/>
              </w:rPr>
            </w:pPr>
            <w:r w:rsidRPr="00C45EE6">
              <w:rPr>
                <w:rFonts w:ascii="Times New Roman" w:eastAsia="Calibri" w:hAnsi="Times New Roman"/>
                <w:sz w:val="20"/>
                <w:szCs w:val="20"/>
              </w:rPr>
              <w:t xml:space="preserve">25 % od ugovorenog iznosa </w:t>
            </w:r>
          </w:p>
          <w:p w14:paraId="5130DB32" w14:textId="77777777" w:rsidR="00C45EE6" w:rsidRPr="00C45EE6" w:rsidRDefault="00C45EE6" w:rsidP="00C45EE6">
            <w:pPr>
              <w:spacing w:after="0" w:line="240" w:lineRule="auto"/>
              <w:rPr>
                <w:rFonts w:ascii="Times New Roman" w:eastAsia="Calibri" w:hAnsi="Times New Roman"/>
                <w:sz w:val="20"/>
                <w:szCs w:val="20"/>
              </w:rPr>
            </w:pPr>
          </w:p>
          <w:p w14:paraId="5A55F22B" w14:textId="77777777" w:rsidR="00C45EE6" w:rsidRPr="00C45EE6" w:rsidRDefault="00C45EE6" w:rsidP="00C45EE6">
            <w:pPr>
              <w:spacing w:before="240" w:after="240" w:line="240" w:lineRule="auto"/>
              <w:jc w:val="both"/>
              <w:rPr>
                <w:rFonts w:ascii="Times New Roman" w:eastAsia="Calibri" w:hAnsi="Times New Roman"/>
                <w:sz w:val="20"/>
                <w:szCs w:val="20"/>
              </w:rPr>
            </w:pPr>
            <w:r w:rsidRPr="00C45EE6">
              <w:rPr>
                <w:rFonts w:ascii="Times New Roman" w:eastAsia="Calibri" w:hAnsi="Times New Roman"/>
                <w:sz w:val="20"/>
                <w:szCs w:val="20"/>
              </w:rPr>
              <w:t>Ispravak se može umanjiti na 10 % ili 5 % ukoliko je osigurana barem minimalna razina tržišnog natjecanja te ukoliko se uvjet ne odnosi na GS već na stručnjaka ili na dio ugovora koji ne predstavlja glavni predmet nabave</w:t>
            </w:r>
          </w:p>
          <w:p w14:paraId="2E382FC4" w14:textId="77777777" w:rsidR="00C45EE6" w:rsidRPr="00C45EE6" w:rsidRDefault="00C45EE6" w:rsidP="00C45EE6">
            <w:pPr>
              <w:spacing w:after="0" w:line="240" w:lineRule="auto"/>
              <w:jc w:val="both"/>
              <w:rPr>
                <w:rFonts w:ascii="Times New Roman" w:eastAsia="Calibri" w:hAnsi="Times New Roman"/>
                <w:sz w:val="20"/>
                <w:szCs w:val="20"/>
                <w:highlight w:val="yellow"/>
              </w:rPr>
            </w:pPr>
          </w:p>
          <w:p w14:paraId="3C8D4B5E" w14:textId="77777777" w:rsidR="00C45EE6" w:rsidRPr="00C45EE6" w:rsidRDefault="00C45EE6" w:rsidP="00C45EE6">
            <w:pPr>
              <w:spacing w:after="0" w:line="240" w:lineRule="auto"/>
              <w:jc w:val="both"/>
              <w:rPr>
                <w:rFonts w:ascii="Times New Roman" w:eastAsia="Calibri" w:hAnsi="Times New Roman"/>
                <w:sz w:val="20"/>
                <w:szCs w:val="20"/>
                <w:highlight w:val="yellow"/>
              </w:rPr>
            </w:pPr>
          </w:p>
        </w:tc>
      </w:tr>
      <w:tr w:rsidR="00C45EE6" w:rsidRPr="00C45EE6" w14:paraId="12DD3106" w14:textId="77777777" w:rsidTr="00C30045">
        <w:trPr>
          <w:trHeight w:val="14885"/>
        </w:trPr>
        <w:tc>
          <w:tcPr>
            <w:tcW w:w="254" w:type="pct"/>
            <w:tcBorders>
              <w:top w:val="single" w:sz="4" w:space="0" w:color="auto"/>
              <w:left w:val="single" w:sz="4" w:space="0" w:color="auto"/>
              <w:right w:val="single" w:sz="4" w:space="0" w:color="auto"/>
            </w:tcBorders>
            <w:vAlign w:val="center"/>
            <w:hideMark/>
          </w:tcPr>
          <w:p w14:paraId="44A4A77F"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lastRenderedPageBreak/>
              <w:t>13.</w:t>
            </w:r>
          </w:p>
        </w:tc>
        <w:tc>
          <w:tcPr>
            <w:tcW w:w="997" w:type="pct"/>
            <w:tcBorders>
              <w:top w:val="single" w:sz="4" w:space="0" w:color="auto"/>
              <w:left w:val="single" w:sz="4" w:space="0" w:color="auto"/>
              <w:right w:val="single" w:sz="4" w:space="0" w:color="auto"/>
            </w:tcBorders>
          </w:tcPr>
          <w:p w14:paraId="7BBA7DF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Upotreba kriterija za isključenje gospodarskog subjekta, kriterija za odabir gospodarskog subjekta, uvjeta za izvršenje ugovora na način koji ima odvraćajući učinak na gospodarske subjekte ili nezakoniti kriteriji </w:t>
            </w:r>
          </w:p>
        </w:tc>
        <w:tc>
          <w:tcPr>
            <w:tcW w:w="2502" w:type="pct"/>
            <w:tcBorders>
              <w:left w:val="single" w:sz="4" w:space="0" w:color="auto"/>
              <w:right w:val="single" w:sz="4" w:space="0" w:color="auto"/>
            </w:tcBorders>
          </w:tcPr>
          <w:p w14:paraId="3C803E5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slučaju kada uvjeti i kriteriji, iako nisu diskriminirajući, ipak imaju odvraćajući učinak na gospodarske subjekte te dovode do ograničavanja tržišnog natjecanja.</w:t>
            </w:r>
          </w:p>
          <w:p w14:paraId="1EE5152F"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556A63A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6D7E8EC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B386B9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Navedeno uključuje, ali nije ograničeno na slučajeve gdje: </w:t>
            </w:r>
          </w:p>
          <w:p w14:paraId="2E837C8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054C511C" w14:textId="77777777" w:rsidR="00C45EE6" w:rsidRPr="00C45EE6" w:rsidRDefault="00C45EE6" w:rsidP="00C45EE6">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kriteriji za odabir gospodarskog subjekta zahtijevaju financijsku sposobnost (npr. godišnji promet) od ponuditelja, a tražena financijska sposobnost nije razmjerna procijenjenoj vrijednosti ugovora</w:t>
            </w:r>
          </w:p>
          <w:p w14:paraId="5BD05665" w14:textId="77777777" w:rsidR="00C45EE6" w:rsidRPr="00C45EE6" w:rsidRDefault="00C45EE6" w:rsidP="00C45EE6">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 xml:space="preserve">kriteriji za odabir gospodarskog subjekta zahtijevaju tehničku i stručnu sposobnost ponuditelja, a koje nisu u skladu s predmetom  nabave (npr. prethodno iskustvo u pružanju usluga stručnog nadzora građevinskih radova u okviru ugovora izvršenog u skladu s FIDIC (Federation Internationale des Ingénieurs-Conseils) općim uvjetima ugovaranja bez ostavljanja mogućnosti za nadmetanje ponuditeljima koji imaju slično iskustvo u provedbi jednakovrijednih ugovora </w:t>
            </w:r>
          </w:p>
          <w:p w14:paraId="628F3582" w14:textId="77777777" w:rsidR="00C45EE6" w:rsidRPr="00C45EE6" w:rsidRDefault="00C45EE6" w:rsidP="00C45EE6">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2B04ADBF" w14:textId="77777777" w:rsidR="00C45EE6" w:rsidRPr="00C45EE6" w:rsidRDefault="00C45EE6" w:rsidP="00C45EE6">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6D8A32FA" w14:textId="77777777" w:rsidR="00C45EE6" w:rsidRPr="00C45EE6" w:rsidRDefault="00C45EE6" w:rsidP="00C45EE6">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više kriterija za dodjelu ugovora (npr. inovacije) nisu povezani s predmetom nabave</w:t>
            </w:r>
          </w:p>
          <w:p w14:paraId="69D2A2AB" w14:textId="77777777" w:rsidR="00C45EE6" w:rsidRPr="00C45EE6" w:rsidRDefault="00C45EE6" w:rsidP="00C45EE6">
            <w:pPr>
              <w:numPr>
                <w:ilvl w:val="0"/>
                <w:numId w:val="9"/>
              </w:numPr>
              <w:autoSpaceDE w:val="0"/>
              <w:autoSpaceDN w:val="0"/>
              <w:adjustRightInd w:val="0"/>
              <w:spacing w:before="240" w:after="0" w:line="259" w:lineRule="auto"/>
              <w:contextualSpacing/>
              <w:jc w:val="both"/>
              <w:rPr>
                <w:rFonts w:eastAsia="Calibri"/>
              </w:rPr>
            </w:pPr>
            <w:r w:rsidRPr="00C45EE6">
              <w:rPr>
                <w:rFonts w:ascii="Times New Roman" w:eastAsia="Calibri" w:hAnsi="Times New Roman"/>
                <w:sz w:val="20"/>
                <w:szCs w:val="20"/>
              </w:rPr>
              <w:lastRenderedPageBreak/>
              <w:t>slučajevi kad se navode norme osiguranja kvalitete pri čemu je iz DoN-a izričito ili implicitno onemogućeno priznanje i prihvaćanje jednakovrijednih potvrda (certifikata) o sukladnosti sustava osiguranja kvalitete</w:t>
            </w:r>
            <w:r w:rsidRPr="00C45EE6" w:rsidDel="002406FC">
              <w:rPr>
                <w:rFonts w:ascii="Times New Roman" w:eastAsia="Calibri" w:hAnsi="Times New Roman"/>
                <w:sz w:val="20"/>
                <w:szCs w:val="20"/>
              </w:rPr>
              <w:t xml:space="preserve"> </w:t>
            </w:r>
          </w:p>
          <w:p w14:paraId="50B77215" w14:textId="77777777" w:rsidR="00C45EE6" w:rsidRPr="00C45EE6" w:rsidRDefault="00C45EE6" w:rsidP="00C45EE6">
            <w:pPr>
              <w:autoSpaceDE w:val="0"/>
              <w:autoSpaceDN w:val="0"/>
              <w:adjustRightInd w:val="0"/>
              <w:spacing w:after="0" w:line="259" w:lineRule="auto"/>
              <w:ind w:left="720"/>
              <w:contextualSpacing/>
              <w:jc w:val="both"/>
              <w:rPr>
                <w:rFonts w:ascii="Times New Roman" w:eastAsia="Calibri" w:hAnsi="Times New Roman"/>
                <w:sz w:val="20"/>
                <w:szCs w:val="20"/>
              </w:rPr>
            </w:pPr>
          </w:p>
          <w:p w14:paraId="28A0620D" w14:textId="77777777" w:rsidR="00C45EE6" w:rsidRPr="00C45EE6" w:rsidRDefault="00C45EE6" w:rsidP="00C45EE6">
            <w:pPr>
              <w:autoSpaceDE w:val="0"/>
              <w:autoSpaceDN w:val="0"/>
              <w:adjustRightInd w:val="0"/>
              <w:spacing w:after="0" w:line="259" w:lineRule="auto"/>
              <w:ind w:left="720"/>
              <w:contextualSpacing/>
              <w:jc w:val="both"/>
              <w:rPr>
                <w:rFonts w:ascii="Times New Roman" w:eastAsia="Calibri" w:hAnsi="Times New Roman"/>
                <w:sz w:val="20"/>
                <w:szCs w:val="20"/>
              </w:rPr>
            </w:pPr>
          </w:p>
          <w:p w14:paraId="2BDE5F1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0CF200EC"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25 % od ugovorenog iznosa 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3B1A06DF" w14:textId="77777777" w:rsidR="00C45EE6" w:rsidRPr="00C45EE6" w:rsidRDefault="00C45EE6" w:rsidP="00C45EE6">
            <w:pPr>
              <w:spacing w:after="0" w:line="240" w:lineRule="auto"/>
              <w:jc w:val="both"/>
              <w:rPr>
                <w:rFonts w:ascii="Times New Roman" w:eastAsia="Calibri" w:hAnsi="Times New Roman"/>
                <w:sz w:val="20"/>
                <w:szCs w:val="20"/>
              </w:rPr>
            </w:pPr>
          </w:p>
          <w:p w14:paraId="70866822" w14:textId="77777777" w:rsidR="00C45EE6" w:rsidRPr="00C45EE6" w:rsidRDefault="00C45EE6" w:rsidP="00C45EE6">
            <w:pPr>
              <w:spacing w:after="0" w:line="240" w:lineRule="auto"/>
              <w:jc w:val="both"/>
              <w:rPr>
                <w:rFonts w:ascii="Times New Roman" w:eastAsia="Calibri" w:hAnsi="Times New Roman"/>
                <w:sz w:val="20"/>
                <w:szCs w:val="20"/>
                <w:highlight w:val="yellow"/>
              </w:rPr>
            </w:pPr>
          </w:p>
          <w:p w14:paraId="6F55D95C"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U slučaju kada uvjeti i kriteriji iako ne diskriminiraju po osnovi zemlje, regije, lokacije ipak imaju odvraćajući učinak na gospodarske subjekte te dovode do ograničavanja tržišnog natjecanja - 10% ili 5% od ugovorenog iznosa, ako je unatoč odvraćajućem učinku ipak osigurana minimalna razina tržišnog natjecanja, npr. veći broj ponuda. </w:t>
            </w:r>
          </w:p>
          <w:p w14:paraId="4B8085BF"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                                                         </w:t>
            </w:r>
          </w:p>
          <w:p w14:paraId="1C97DCCF" w14:textId="77777777" w:rsidR="00C45EE6" w:rsidRPr="00C45EE6" w:rsidRDefault="00C45EE6" w:rsidP="00C45EE6">
            <w:pPr>
              <w:spacing w:after="240" w:line="240" w:lineRule="auto"/>
              <w:jc w:val="both"/>
              <w:rPr>
                <w:rFonts w:ascii="Times New Roman" w:eastAsia="Calibri" w:hAnsi="Times New Roman"/>
                <w:sz w:val="20"/>
                <w:szCs w:val="20"/>
              </w:rPr>
            </w:pPr>
            <w:r w:rsidRPr="00C45EE6">
              <w:rPr>
                <w:rFonts w:ascii="Times New Roman" w:eastAsia="Calibri" w:hAnsi="Times New Roman"/>
                <w:sz w:val="20"/>
                <w:szCs w:val="20"/>
              </w:rPr>
              <w:t>Iznimno moguće je odrediti i manju korekciju primjenjujući načelo razmjernosti (npr ukoliko se uvjet ne odnosi na GS već na stručnjaka, ukoliko se radi o dijelu ugovora koji je sporedne prirode_)</w:t>
            </w:r>
          </w:p>
          <w:p w14:paraId="08FEC4AC" w14:textId="77777777" w:rsidR="00C45EE6" w:rsidRPr="00C45EE6" w:rsidRDefault="00C45EE6" w:rsidP="00C45EE6">
            <w:pPr>
              <w:spacing w:after="0" w:line="240" w:lineRule="auto"/>
              <w:jc w:val="both"/>
              <w:rPr>
                <w:rFonts w:ascii="Times New Roman" w:eastAsia="Calibri" w:hAnsi="Times New Roman"/>
                <w:sz w:val="20"/>
                <w:szCs w:val="20"/>
              </w:rPr>
            </w:pPr>
          </w:p>
          <w:p w14:paraId="30CBBB4C" w14:textId="77777777" w:rsidR="00C45EE6" w:rsidRPr="00C45EE6" w:rsidRDefault="00C45EE6" w:rsidP="00C45EE6">
            <w:pPr>
              <w:spacing w:before="240" w:after="240" w:line="240" w:lineRule="auto"/>
              <w:jc w:val="both"/>
              <w:rPr>
                <w:rFonts w:ascii="Times New Roman" w:eastAsia="Calibri" w:hAnsi="Times New Roman"/>
                <w:sz w:val="20"/>
                <w:szCs w:val="20"/>
              </w:rPr>
            </w:pPr>
          </w:p>
        </w:tc>
      </w:tr>
      <w:tr w:rsidR="00C45EE6" w:rsidRPr="00C45EE6" w14:paraId="5A2C4CC0" w14:textId="77777777" w:rsidTr="00C3004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AAE618F"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lastRenderedPageBreak/>
              <w:t>14.</w:t>
            </w:r>
          </w:p>
        </w:tc>
        <w:tc>
          <w:tcPr>
            <w:tcW w:w="997" w:type="pct"/>
            <w:tcBorders>
              <w:top w:val="single" w:sz="4" w:space="0" w:color="auto"/>
              <w:left w:val="single" w:sz="4" w:space="0" w:color="auto"/>
              <w:bottom w:val="single" w:sz="4" w:space="0" w:color="auto"/>
              <w:right w:val="single" w:sz="4" w:space="0" w:color="auto"/>
            </w:tcBorders>
          </w:tcPr>
          <w:p w14:paraId="1EE19580"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Upotreba tehničkih specifikacija prilikom opisa predmeta nabave  na način koji ima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4F310E3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slučaju kada tehničke specifikacije koje se koriste prilikom opisa predmeta nabave  imaju odvraćajući učinak na gospodarske subjekte te dovode do ograničavanja tržišnog natjecanja.</w:t>
            </w:r>
          </w:p>
          <w:p w14:paraId="27FB2F1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A4A80C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Navedeno uključuje, ali nije ograničeno na slučajeve gdje: </w:t>
            </w:r>
          </w:p>
          <w:p w14:paraId="473A98E6"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E088426"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w:t>
            </w:r>
            <w:r w:rsidRPr="00C45EE6">
              <w:rPr>
                <w:rFonts w:ascii="Times New Roman" w:eastAsia="Calibri" w:hAnsi="Times New Roman"/>
                <w:sz w:val="20"/>
                <w:szCs w:val="20"/>
              </w:rPr>
              <w:tab/>
              <w:t xml:space="preserve">slučajevi kada se navode robne marke,  s ili bez upotrebe izraza "ili jednakovrijedno", osim ako se takvi zahtjevi odnose na popratni i financijski manje značajan dio ugovora (koliko stavke troškovnika zahvaćene nepravilnošću čine manje od 5% ukupne vrijednosti ugovora o nabavi) te je potencijalni utjecaj na proračun EU-a samo formalne prirode </w:t>
            </w:r>
          </w:p>
          <w:p w14:paraId="17C2826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w:t>
            </w:r>
            <w:r w:rsidRPr="00C45EE6">
              <w:rPr>
                <w:rFonts w:ascii="Times New Roman" w:eastAsia="Calibri" w:hAnsi="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1C1209D5"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w:t>
            </w:r>
            <w:r w:rsidRPr="00C45EE6">
              <w:rPr>
                <w:rFonts w:ascii="Times New Roman" w:eastAsia="Calibri" w:hAnsi="Times New Roman"/>
                <w:sz w:val="20"/>
                <w:szCs w:val="20"/>
              </w:rPr>
              <w:tab/>
              <w:t xml:space="preserve">slučajevi kada se navode norme bez upotrebe izraza "ili jednakovrijedno", uzimajući u obzir da li su dokumentacijom o nabavi zahtijevane norme nužne i obvezne te za koje je, stoga, izvjesno da im mogu udovoljiti svi ili najveći broj zainteresiranih ponuditelja na tržištu,  vrijednost stavke zahvaćene nepravilnošću ili/i sporednu prirodu stavke </w:t>
            </w:r>
          </w:p>
          <w:p w14:paraId="7B0FE46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BB9395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7BD9082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25% u slučaju kada su propisane tehničke specifikacije dovele do situacije u kojoj je samo jedan gospodarski subjekt mogao predati ponudu, a takav ishod ne može se opravdati tehničkim uvjetima određenog ugovora</w:t>
            </w:r>
          </w:p>
          <w:p w14:paraId="5019D82B" w14:textId="77777777" w:rsidR="00C45EE6" w:rsidRPr="00C45EE6" w:rsidRDefault="00C45EE6" w:rsidP="00C45EE6">
            <w:pPr>
              <w:spacing w:after="0" w:line="240" w:lineRule="auto"/>
              <w:jc w:val="both"/>
              <w:rPr>
                <w:rFonts w:ascii="Times New Roman" w:eastAsia="Calibri" w:hAnsi="Times New Roman"/>
                <w:sz w:val="20"/>
                <w:szCs w:val="20"/>
              </w:rPr>
            </w:pPr>
          </w:p>
          <w:p w14:paraId="0A86BEF8"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Ispravak se može umanjiti na 10% ili 5% od ugovorenog iznosa, ovisno o ozbiljnosti nepravilnosti </w:t>
            </w:r>
          </w:p>
          <w:p w14:paraId="6E58DF4C" w14:textId="77777777" w:rsidR="00C45EE6" w:rsidRPr="00C45EE6" w:rsidRDefault="00C45EE6" w:rsidP="00C45EE6">
            <w:pPr>
              <w:spacing w:after="0" w:line="240" w:lineRule="auto"/>
              <w:jc w:val="both"/>
              <w:rPr>
                <w:rFonts w:ascii="Times New Roman" w:eastAsia="Calibri" w:hAnsi="Times New Roman"/>
                <w:sz w:val="20"/>
                <w:szCs w:val="20"/>
              </w:rPr>
            </w:pPr>
          </w:p>
          <w:p w14:paraId="627B5115" w14:textId="77777777" w:rsidR="00C45EE6" w:rsidRPr="00C45EE6" w:rsidRDefault="00C45EE6" w:rsidP="00C45EE6">
            <w:pPr>
              <w:spacing w:after="0" w:line="240" w:lineRule="auto"/>
              <w:jc w:val="both"/>
              <w:rPr>
                <w:rFonts w:ascii="Times New Roman" w:eastAsia="Calibri" w:hAnsi="Times New Roman"/>
                <w:sz w:val="20"/>
                <w:szCs w:val="20"/>
              </w:rPr>
            </w:pPr>
          </w:p>
          <w:p w14:paraId="2FE270D1" w14:textId="77777777" w:rsidR="00C45EE6" w:rsidRPr="00C45EE6" w:rsidRDefault="00C45EE6" w:rsidP="00C45EE6">
            <w:pPr>
              <w:spacing w:after="0" w:line="240" w:lineRule="auto"/>
              <w:jc w:val="both"/>
              <w:rPr>
                <w:rFonts w:ascii="Times New Roman" w:eastAsia="Calibri" w:hAnsi="Times New Roman"/>
                <w:sz w:val="20"/>
                <w:szCs w:val="20"/>
              </w:rPr>
            </w:pPr>
          </w:p>
          <w:p w14:paraId="1D0EC1C4" w14:textId="77777777" w:rsidR="00C45EE6" w:rsidRPr="00C45EE6" w:rsidDel="000D43A7" w:rsidRDefault="00C45EE6" w:rsidP="00C45EE6">
            <w:pPr>
              <w:spacing w:after="0" w:line="240" w:lineRule="auto"/>
              <w:jc w:val="both"/>
              <w:rPr>
                <w:rFonts w:ascii="Times New Roman" w:eastAsia="Calibri" w:hAnsi="Times New Roman"/>
                <w:sz w:val="20"/>
                <w:szCs w:val="20"/>
              </w:rPr>
            </w:pPr>
          </w:p>
        </w:tc>
      </w:tr>
      <w:tr w:rsidR="00C45EE6" w:rsidRPr="00C45EE6" w14:paraId="5D43F011" w14:textId="77777777" w:rsidTr="00C3004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08945B4" w14:textId="77777777" w:rsidR="00C45EE6" w:rsidRPr="00C45EE6" w:rsidRDefault="00C45EE6" w:rsidP="00C45EE6">
            <w:pPr>
              <w:spacing w:after="0" w:line="240" w:lineRule="auto"/>
              <w:jc w:val="center"/>
              <w:rPr>
                <w:rFonts w:ascii="Times New Roman" w:eastAsia="Calibri" w:hAnsi="Times New Roman"/>
                <w:b/>
                <w:sz w:val="20"/>
                <w:szCs w:val="20"/>
              </w:rPr>
            </w:pPr>
            <w:r w:rsidRPr="00C45EE6">
              <w:rPr>
                <w:rFonts w:ascii="Times New Roman" w:eastAsia="Calibri" w:hAnsi="Times New Roman"/>
                <w:b/>
                <w:sz w:val="20"/>
                <w:szCs w:val="20"/>
              </w:rPr>
              <w:t>Odabir ponuditelja i ocjenjivanje ponuda</w:t>
            </w:r>
          </w:p>
        </w:tc>
      </w:tr>
      <w:tr w:rsidR="00C45EE6" w:rsidRPr="00C45EE6" w14:paraId="6A873B0B" w14:textId="77777777" w:rsidTr="00C3004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125DA8C0"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15.</w:t>
            </w:r>
          </w:p>
        </w:tc>
        <w:tc>
          <w:tcPr>
            <w:tcW w:w="997" w:type="pct"/>
            <w:vMerge w:val="restart"/>
            <w:tcBorders>
              <w:top w:val="single" w:sz="4" w:space="0" w:color="auto"/>
              <w:left w:val="single" w:sz="4" w:space="0" w:color="auto"/>
              <w:right w:val="single" w:sz="4" w:space="0" w:color="auto"/>
            </w:tcBorders>
            <w:hideMark/>
          </w:tcPr>
          <w:p w14:paraId="2E1F88C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0ACFB2AF"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highlight w:val="yellow"/>
              </w:rPr>
            </w:pPr>
          </w:p>
          <w:p w14:paraId="5D069C5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1A9B636"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46C01D5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 xml:space="preserve">Kriteriji za </w:t>
            </w:r>
            <w:r w:rsidRPr="00C45EE6" w:rsidDel="0073301D">
              <w:rPr>
                <w:rFonts w:ascii="Times New Roman" w:eastAsia="Calibri" w:hAnsi="Times New Roman"/>
                <w:sz w:val="20"/>
                <w:szCs w:val="20"/>
              </w:rPr>
              <w:t xml:space="preserve">kvalitativni </w:t>
            </w:r>
            <w:r w:rsidRPr="00C45EE6">
              <w:rPr>
                <w:rFonts w:ascii="Times New Roman" w:eastAsia="Calibri" w:hAnsi="Times New Roman"/>
                <w:sz w:val="20"/>
                <w:szCs w:val="20"/>
              </w:rPr>
              <w:t xml:space="preserve">odabir gospodarskog subjekta ili </w:t>
            </w:r>
            <w:r w:rsidRPr="00C45EE6" w:rsidDel="00935209">
              <w:rPr>
                <w:rFonts w:ascii="Times New Roman" w:eastAsia="Calibri" w:hAnsi="Times New Roman"/>
                <w:sz w:val="20"/>
                <w:szCs w:val="20"/>
              </w:rPr>
              <w:t>te</w:t>
            </w:r>
            <w:r w:rsidRPr="00C45EE6">
              <w:rPr>
                <w:rFonts w:ascii="Times New Roman" w:eastAsia="Calibri" w:hAnsi="Times New Roman"/>
                <w:sz w:val="20"/>
                <w:szCs w:val="20"/>
              </w:rPr>
              <w:t>hničke specifikacije nakon otvaranja ponuda nisu ispravno primijenjeni/e/i</w:t>
            </w:r>
            <w:r w:rsidRPr="00C45EE6" w:rsidDel="009E1B2F">
              <w:rPr>
                <w:rFonts w:ascii="Times New Roman" w:eastAsia="Calibri" w:hAnsi="Times New Roman"/>
                <w:sz w:val="20"/>
                <w:szCs w:val="20"/>
              </w:rPr>
              <w:t>zmijenjeni</w:t>
            </w:r>
            <w:r w:rsidRPr="00C45EE6">
              <w:rPr>
                <w:rFonts w:ascii="Times New Roman" w:eastAsia="Calibri" w:hAnsi="Times New Roman"/>
                <w:sz w:val="20"/>
                <w:szCs w:val="20"/>
              </w:rPr>
              <w:t>/e</w:t>
            </w:r>
            <w:r w:rsidRPr="00C45EE6" w:rsidDel="009E1B2F">
              <w:rPr>
                <w:rFonts w:ascii="Times New Roman" w:eastAsia="Calibri" w:hAnsi="Times New Roman"/>
                <w:sz w:val="20"/>
                <w:szCs w:val="20"/>
              </w:rPr>
              <w:t xml:space="preserve"> su u fazi ocjenjivanja ponuda</w:t>
            </w:r>
            <w:r w:rsidRPr="00C45EE6">
              <w:rPr>
                <w:rFonts w:ascii="Times New Roman" w:eastAsia="Calibri" w:hAnsi="Times New Roman"/>
                <w:sz w:val="20"/>
                <w:szCs w:val="20"/>
              </w:rPr>
              <w:t>, zbog čega je:</w:t>
            </w:r>
          </w:p>
          <w:p w14:paraId="53319540" w14:textId="77777777" w:rsidR="00C45EE6" w:rsidRPr="00C45EE6" w:rsidRDefault="00C45EE6" w:rsidP="00C45EE6">
            <w:pPr>
              <w:numPr>
                <w:ilvl w:val="0"/>
                <w:numId w:val="11"/>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30379683" w14:textId="77777777" w:rsidR="00C45EE6" w:rsidRPr="00C45EE6" w:rsidRDefault="00C45EE6" w:rsidP="00C45EE6">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je odbijen ili isključen ponuditelj koji je trebao biti prihvaćen</w:t>
            </w:r>
            <w:r w:rsidRPr="00C45EE6">
              <w:rPr>
                <w:rFonts w:ascii="Times New Roman" w:eastAsia="Calibri" w:hAnsi="Times New Roman"/>
                <w:sz w:val="20"/>
                <w:szCs w:val="20"/>
                <w:vertAlign w:val="superscript"/>
              </w:rPr>
              <w:footnoteReference w:id="8"/>
            </w:r>
            <w:r w:rsidRPr="00C45EE6">
              <w:rPr>
                <w:rFonts w:ascii="Times New Roman" w:eastAsia="Calibri" w:hAnsi="Times New Roman"/>
                <w:sz w:val="20"/>
                <w:szCs w:val="20"/>
              </w:rPr>
              <w:t xml:space="preserve"> da su se poštivali objavljeni kriteriji za kvalitativni odabir gospodarskog subjekta ili tehničke specifikacije.</w:t>
            </w:r>
          </w:p>
          <w:p w14:paraId="5F95E665"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4B4A37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U iznimnim i opravdanim slučajevima moguće je, uz „case by case“ pristup, odstupiti od razine financijske korekcije zadane u ovim Pravilima, uzimajući u obzir prirodu i težinu nepravilnosti te financijskog gubitka za proračun Europske unije:</w:t>
            </w:r>
          </w:p>
          <w:p w14:paraId="70F08A0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56EB773F" w14:textId="77777777" w:rsidR="00C45EE6" w:rsidRPr="00C45EE6" w:rsidRDefault="00C45EE6" w:rsidP="00C45EE6">
            <w:pPr>
              <w:numPr>
                <w:ilvl w:val="0"/>
                <w:numId w:val="12"/>
              </w:numPr>
              <w:autoSpaceDE w:val="0"/>
              <w:autoSpaceDN w:val="0"/>
              <w:adjustRightInd w:val="0"/>
              <w:spacing w:before="240" w:after="0" w:line="259" w:lineRule="auto"/>
              <w:contextualSpacing/>
              <w:jc w:val="both"/>
              <w:rPr>
                <w:rFonts w:ascii="Times New Roman" w:eastAsia="Calibri" w:hAnsi="Times New Roman"/>
                <w:i/>
                <w:sz w:val="20"/>
                <w:szCs w:val="20"/>
              </w:rPr>
            </w:pPr>
            <w:r w:rsidRPr="00C45EE6">
              <w:rPr>
                <w:rFonts w:ascii="Times New Roman" w:eastAsia="Calibri" w:hAnsi="Times New Roman"/>
                <w:sz w:val="20"/>
                <w:szCs w:val="20"/>
                <w:u w:val="single"/>
              </w:rPr>
              <w:t xml:space="preserve">Kriteriji za kvalitativni odabir gospodarskog subjekta </w:t>
            </w:r>
          </w:p>
          <w:p w14:paraId="224A83E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i/>
                <w:sz w:val="20"/>
                <w:szCs w:val="20"/>
              </w:rPr>
            </w:pPr>
          </w:p>
          <w:p w14:paraId="1FB4055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Ukoliko se dodatnim dokazivanjem u postupku ex post kontrole prikupe dokazi koji potvrđuju da sukladnost ponude sa uvjetima iz DoN-a u trenutku provedbe postupka javne nabave, može se razmotriti snižavanje financijske korekcije.</w:t>
            </w:r>
          </w:p>
          <w:p w14:paraId="583DF089"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5B41A35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002520B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B64147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Okolnosti koje se prvenstveno trebaju uzeti u obzir su:</w:t>
            </w:r>
          </w:p>
          <w:p w14:paraId="397133B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b/>
                <w:sz w:val="20"/>
                <w:szCs w:val="20"/>
              </w:rPr>
              <w:t xml:space="preserve">- </w:t>
            </w:r>
            <w:r w:rsidRPr="00C45EE6">
              <w:rPr>
                <w:rFonts w:ascii="Times New Roman" w:eastAsia="Calibri" w:hAnsi="Times New Roman"/>
                <w:sz w:val="20"/>
                <w:szCs w:val="20"/>
              </w:rPr>
              <w:t>ako</w:t>
            </w:r>
            <w:r w:rsidRPr="00C45EE6">
              <w:rPr>
                <w:rFonts w:ascii="Times New Roman" w:eastAsia="Calibri" w:hAnsi="Times New Roman"/>
                <w:b/>
                <w:sz w:val="20"/>
                <w:szCs w:val="20"/>
              </w:rPr>
              <w:t xml:space="preserve"> </w:t>
            </w:r>
            <w:r w:rsidRPr="00C45EE6">
              <w:rPr>
                <w:rFonts w:ascii="Times New Roman" w:eastAsia="Calibri" w:hAnsi="Times New Roman"/>
                <w:sz w:val="20"/>
                <w:szCs w:val="20"/>
              </w:rPr>
              <w:t>nije ni naknadno dokazana sukladnost ponude sa uvjetima iz DoN-a, načelno nema okolnosti koja bi mogla opravdati umanjenje predviđene korekcije od 25%</w:t>
            </w:r>
          </w:p>
          <w:p w14:paraId="46D963E5"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ako je naknadno dokazana sukladnost ponude sa uvjetima iz DoN-a, moguće je umanjiti financijski ispravak na 10% ili 5%, a u iznimnim i opravdanim slučajevima moguće je utvrditi i nepostojanje nepravilnosti</w:t>
            </w:r>
          </w:p>
          <w:p w14:paraId="1CDA2A6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789A5017" w14:textId="77777777" w:rsidR="00C45EE6" w:rsidRPr="00C45EE6" w:rsidRDefault="00C45EE6" w:rsidP="00C45EE6">
            <w:pPr>
              <w:numPr>
                <w:ilvl w:val="0"/>
                <w:numId w:val="12"/>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Tehničke specifikacije</w:t>
            </w:r>
          </w:p>
          <w:p w14:paraId="52FF80E9" w14:textId="77777777" w:rsidR="00C45EE6" w:rsidRPr="00C45EE6" w:rsidRDefault="00C45EE6" w:rsidP="00C45EE6">
            <w:pPr>
              <w:autoSpaceDE w:val="0"/>
              <w:autoSpaceDN w:val="0"/>
              <w:adjustRightInd w:val="0"/>
              <w:spacing w:before="240"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slučajevima u kojima je naručitelj prihvatio ponudu:</w:t>
            </w:r>
          </w:p>
          <w:p w14:paraId="2F013C8B" w14:textId="77777777" w:rsidR="00C45EE6" w:rsidRPr="00C45EE6" w:rsidRDefault="00C45EE6" w:rsidP="00C45EE6">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 xml:space="preserve">koja u izrazito malom dijelu (5% vrijednosti ugovora) ne udovoljava tehničkim specifikacijama koje su tražene dokumentacijom o nabavi </w:t>
            </w:r>
          </w:p>
          <w:p w14:paraId="5D7C686D" w14:textId="77777777" w:rsidR="00C45EE6" w:rsidRPr="00C45EE6" w:rsidRDefault="00C45EE6" w:rsidP="00C45EE6">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kada je nepravilnim postupanjem zahvaćena neznatna vrijednost ugovorenog troškovnika</w:t>
            </w:r>
          </w:p>
          <w:p w14:paraId="08BF05D4" w14:textId="77777777" w:rsidR="00C45EE6" w:rsidRPr="00C45EE6" w:rsidRDefault="00C45EE6" w:rsidP="00C45EE6">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 xml:space="preserve">kada je ponuda odabranog ponuditelja bila jedina (valjana) ponuda </w:t>
            </w:r>
          </w:p>
          <w:p w14:paraId="234F3C88" w14:textId="77777777" w:rsidR="00C45EE6" w:rsidRPr="00C45EE6" w:rsidRDefault="00C45EE6" w:rsidP="00C45EE6">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31D1EED2" w14:textId="77777777" w:rsidR="00C45EE6" w:rsidRPr="00C45EE6" w:rsidRDefault="00C45EE6" w:rsidP="00C45EE6">
            <w:pPr>
              <w:autoSpaceDE w:val="0"/>
              <w:autoSpaceDN w:val="0"/>
              <w:adjustRightInd w:val="0"/>
              <w:spacing w:after="0" w:line="259" w:lineRule="auto"/>
              <w:ind w:left="771"/>
              <w:contextualSpacing/>
              <w:jc w:val="both"/>
              <w:rPr>
                <w:rFonts w:ascii="Times New Roman" w:eastAsia="Calibri" w:hAnsi="Times New Roman"/>
                <w:sz w:val="20"/>
                <w:szCs w:val="20"/>
              </w:rPr>
            </w:pPr>
            <w:r w:rsidRPr="00C45EE6">
              <w:rPr>
                <w:rFonts w:ascii="Times New Roman" w:eastAsia="Calibri" w:hAnsi="Times New Roman"/>
                <w:sz w:val="20"/>
                <w:szCs w:val="20"/>
              </w:rPr>
              <w:t xml:space="preserve">moguće je navedeno postupanje okarakterizirati kao formalni propust bez financijskog učinka. </w:t>
            </w:r>
          </w:p>
          <w:p w14:paraId="5DC3B7B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vMerge w:val="restart"/>
            <w:tcBorders>
              <w:left w:val="single" w:sz="4" w:space="0" w:color="auto"/>
              <w:right w:val="single" w:sz="4" w:space="0" w:color="auto"/>
            </w:tcBorders>
          </w:tcPr>
          <w:p w14:paraId="386BE7FC"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25% od ugovorenog iznosa samo u slučajevima kada je nepoštivanje propisanih kriterija dovelo do sklapanja ugovora sa ponuditeljem koji ne bi bio izabran</w:t>
            </w:r>
          </w:p>
          <w:p w14:paraId="1EAF75BB" w14:textId="77777777" w:rsidR="00C45EE6" w:rsidRPr="00C45EE6" w:rsidRDefault="00C45EE6" w:rsidP="00C45EE6">
            <w:pPr>
              <w:spacing w:after="0" w:line="240" w:lineRule="auto"/>
              <w:jc w:val="both"/>
              <w:rPr>
                <w:rFonts w:ascii="Times New Roman" w:eastAsia="Calibri" w:hAnsi="Times New Roman"/>
                <w:sz w:val="20"/>
                <w:szCs w:val="20"/>
              </w:rPr>
            </w:pPr>
          </w:p>
          <w:p w14:paraId="4C444FD7" w14:textId="77777777" w:rsidR="00C45EE6" w:rsidRPr="00C45EE6" w:rsidRDefault="00C45EE6" w:rsidP="00C45EE6">
            <w:pPr>
              <w:spacing w:after="0" w:line="240" w:lineRule="auto"/>
              <w:jc w:val="both"/>
              <w:rPr>
                <w:rFonts w:ascii="Times New Roman" w:eastAsia="Calibri" w:hAnsi="Times New Roman"/>
                <w:sz w:val="20"/>
                <w:szCs w:val="20"/>
                <w:highlight w:val="yellow"/>
              </w:rPr>
            </w:pPr>
          </w:p>
          <w:p w14:paraId="73B7BAD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Ukoliko stavke troškovnika zahvaćene nepravilnošću čine manje od 5% ukupne vrijednosti ugovora o nabavi, u iznimnim i opravdanim </w:t>
            </w:r>
            <w:r w:rsidRPr="00C45EE6">
              <w:rPr>
                <w:rFonts w:ascii="Times New Roman" w:eastAsia="Calibri" w:hAnsi="Times New Roman"/>
                <w:sz w:val="20"/>
                <w:szCs w:val="20"/>
              </w:rPr>
              <w:lastRenderedPageBreak/>
              <w:t>slučajevima, moguće je odstupiti od razine financijske korekcije zadane u ovim Pravilima</w:t>
            </w:r>
          </w:p>
        </w:tc>
      </w:tr>
      <w:tr w:rsidR="00C45EE6" w:rsidRPr="00C45EE6" w14:paraId="11336666" w14:textId="77777777" w:rsidTr="00C3004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60F101B7" w14:textId="77777777" w:rsidR="00C45EE6" w:rsidRPr="00C45EE6" w:rsidRDefault="00C45EE6" w:rsidP="00C45EE6">
            <w:pPr>
              <w:spacing w:after="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tcPr>
          <w:p w14:paraId="18DBB8D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404E4D5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vMerge/>
            <w:tcBorders>
              <w:top w:val="single" w:sz="4" w:space="0" w:color="auto"/>
              <w:left w:val="single" w:sz="4" w:space="0" w:color="auto"/>
              <w:right w:val="single" w:sz="4" w:space="0" w:color="auto"/>
            </w:tcBorders>
          </w:tcPr>
          <w:p w14:paraId="16FA08E1" w14:textId="77777777" w:rsidR="00C45EE6" w:rsidRPr="00C45EE6" w:rsidDel="008C5D8F" w:rsidRDefault="00C45EE6" w:rsidP="00C45EE6">
            <w:pPr>
              <w:spacing w:after="0" w:line="240" w:lineRule="auto"/>
              <w:jc w:val="both"/>
              <w:rPr>
                <w:rFonts w:ascii="Times New Roman" w:eastAsia="Calibri" w:hAnsi="Times New Roman"/>
                <w:sz w:val="20"/>
                <w:szCs w:val="20"/>
              </w:rPr>
            </w:pPr>
          </w:p>
        </w:tc>
      </w:tr>
      <w:tr w:rsidR="00C45EE6" w:rsidRPr="00C45EE6" w14:paraId="520BB651" w14:textId="77777777" w:rsidTr="00C30045">
        <w:trPr>
          <w:trHeight w:val="1209"/>
        </w:trPr>
        <w:tc>
          <w:tcPr>
            <w:tcW w:w="254" w:type="pct"/>
            <w:vMerge w:val="restart"/>
            <w:tcBorders>
              <w:top w:val="single" w:sz="4" w:space="0" w:color="auto"/>
              <w:left w:val="single" w:sz="4" w:space="0" w:color="auto"/>
              <w:right w:val="single" w:sz="4" w:space="0" w:color="auto"/>
            </w:tcBorders>
            <w:vAlign w:val="center"/>
          </w:tcPr>
          <w:p w14:paraId="7BEC158B"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lastRenderedPageBreak/>
              <w:t>16.</w:t>
            </w:r>
          </w:p>
        </w:tc>
        <w:tc>
          <w:tcPr>
            <w:tcW w:w="997" w:type="pct"/>
            <w:vMerge w:val="restart"/>
            <w:tcBorders>
              <w:top w:val="single" w:sz="4" w:space="0" w:color="auto"/>
              <w:left w:val="single" w:sz="4" w:space="0" w:color="auto"/>
              <w:right w:val="single" w:sz="4" w:space="0" w:color="auto"/>
            </w:tcBorders>
          </w:tcPr>
          <w:p w14:paraId="2B03621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Ocjenjivanje ponuda upotrebom kriterija koji se razlikuju od onih objavljenih u obavijesti o nadmetanju    ili dokumentaciji o nabavi ili  </w:t>
            </w:r>
          </w:p>
          <w:p w14:paraId="3BD607A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upotrebom dodatnih kriterija koji nisu bili objavljeni</w:t>
            </w:r>
            <w:r w:rsidRPr="00C45EE6" w:rsidDel="00146318">
              <w:rPr>
                <w:rFonts w:ascii="Times New Roman" w:eastAsia="Calibri" w:hAnsi="Times New Roman"/>
                <w:sz w:val="20"/>
                <w:szCs w:val="20"/>
              </w:rPr>
              <w:t xml:space="preserve"> </w:t>
            </w:r>
          </w:p>
          <w:p w14:paraId="1CF09DF0" w14:textId="77777777" w:rsidR="00C45EE6" w:rsidRPr="00C45EE6" w:rsidRDefault="00C45EE6" w:rsidP="00C45EE6">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E7B4D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Tijekom ocjenjivanja došlo je do odstupanja od kriterija za odabir ili pondera objavljenih u obavijesti o nadmetanju ili dokumentaciji o nabavi ili su upotrjebljeni kriteriji koji nisu objavljeni.</w:t>
            </w:r>
          </w:p>
          <w:p w14:paraId="3512505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AA1BD9B" w14:textId="77777777" w:rsidR="00C45EE6" w:rsidRPr="00C45EE6" w:rsidRDefault="00C45EE6" w:rsidP="00C45EE6">
            <w:pPr>
              <w:spacing w:after="0" w:line="240" w:lineRule="auto"/>
              <w:rPr>
                <w:rFonts w:ascii="Times New Roman" w:eastAsia="Calibri" w:hAnsi="Times New Roman"/>
                <w:sz w:val="20"/>
                <w:szCs w:val="20"/>
              </w:rPr>
            </w:pPr>
          </w:p>
        </w:tc>
        <w:tc>
          <w:tcPr>
            <w:tcW w:w="1247" w:type="pct"/>
            <w:vMerge w:val="restart"/>
            <w:tcBorders>
              <w:top w:val="single" w:sz="4" w:space="0" w:color="auto"/>
              <w:left w:val="single" w:sz="4" w:space="0" w:color="auto"/>
              <w:right w:val="single" w:sz="4" w:space="0" w:color="auto"/>
            </w:tcBorders>
          </w:tcPr>
          <w:p w14:paraId="49F3912A"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25 % od ugovorenog iznosa uz mogućnost umanjenja na 10% ili 5%, ovisno o ozbiljnosti nepravilnosti </w:t>
            </w:r>
          </w:p>
          <w:p w14:paraId="2014D865" w14:textId="77777777" w:rsidR="00C45EE6" w:rsidRPr="00C45EE6" w:rsidRDefault="00C45EE6" w:rsidP="00C45EE6">
            <w:pPr>
              <w:spacing w:after="0" w:line="240" w:lineRule="auto"/>
              <w:jc w:val="both"/>
              <w:rPr>
                <w:rFonts w:ascii="Times New Roman" w:eastAsia="Calibri" w:hAnsi="Times New Roman"/>
                <w:sz w:val="20"/>
                <w:szCs w:val="20"/>
              </w:rPr>
            </w:pPr>
          </w:p>
          <w:p w14:paraId="5ABE4FE4"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2BB4AEDD" w14:textId="77777777" w:rsidTr="00C30045">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265E2F1F" w14:textId="77777777" w:rsidR="00C45EE6" w:rsidRPr="00C45EE6" w:rsidRDefault="00C45EE6" w:rsidP="00C45EE6">
            <w:pPr>
              <w:spacing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06428F1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278C64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E5BE9A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NPR.</w:t>
            </w:r>
          </w:p>
          <w:p w14:paraId="171FDE0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Kriterij za odabir ponude (ili podkriterij ili vrijednost pojedinog kriterija) je izmijenjen ili dodan tijekom ocjene ponude što je dovelo do rezultata koji se razlikuju od onih koji bi nastali da se koristio prvotni kriterij za odabir ponude objavljen u obavijesti o nadmetanju /dokumentaciji o nabavi, npr.:</w:t>
            </w:r>
          </w:p>
          <w:p w14:paraId="3C94652A" w14:textId="77777777" w:rsidR="00C45EE6" w:rsidRPr="00C45EE6" w:rsidRDefault="00C45EE6" w:rsidP="00C45EE6">
            <w:pPr>
              <w:numPr>
                <w:ilvl w:val="0"/>
                <w:numId w:val="6"/>
              </w:numPr>
              <w:autoSpaceDE w:val="0"/>
              <w:autoSpaceDN w:val="0"/>
              <w:adjustRightInd w:val="0"/>
              <w:spacing w:before="240" w:after="0" w:line="240" w:lineRule="auto"/>
              <w:jc w:val="both"/>
              <w:rPr>
                <w:rFonts w:ascii="Times New Roman" w:eastAsia="Calibri" w:hAnsi="Times New Roman"/>
                <w:sz w:val="20"/>
                <w:szCs w:val="20"/>
              </w:rPr>
            </w:pPr>
            <w:r w:rsidRPr="00C45EE6">
              <w:rPr>
                <w:rFonts w:ascii="Times New Roman" w:eastAsia="Calibri" w:hAnsi="Times New Roman"/>
                <w:sz w:val="20"/>
                <w:szCs w:val="20"/>
              </w:rPr>
              <w:t>tijekom ocjenjivanja naručitelj primjenjuje podkriterije (za metodologiju procjene) koji se ne odnose na kriterije za odabir ponude navedene u pozivu na nadmetanje/ dokumentaciji o nabavi;</w:t>
            </w:r>
          </w:p>
          <w:p w14:paraId="23F9DAD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tijekom ocjenjivanja naručitelj primjenjuje podkriterije koji se odnose na naknadna pojašnjenja kriterija za odabir ponude koja nisu bila uključena kao dio poziva na nadmetanje / dokumentaciji o nabavi.</w:t>
            </w:r>
          </w:p>
          <w:p w14:paraId="434C669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vMerge/>
            <w:tcBorders>
              <w:left w:val="single" w:sz="4" w:space="0" w:color="auto"/>
              <w:bottom w:val="single" w:sz="4" w:space="0" w:color="auto"/>
              <w:right w:val="single" w:sz="4" w:space="0" w:color="auto"/>
            </w:tcBorders>
          </w:tcPr>
          <w:p w14:paraId="65092A9D" w14:textId="77777777" w:rsidR="00C45EE6" w:rsidRPr="00C45EE6" w:rsidDel="00667204" w:rsidRDefault="00C45EE6" w:rsidP="00C45EE6">
            <w:pPr>
              <w:spacing w:after="0" w:line="240" w:lineRule="auto"/>
              <w:jc w:val="both"/>
              <w:rPr>
                <w:rFonts w:ascii="Times New Roman" w:eastAsia="Calibri" w:hAnsi="Times New Roman"/>
                <w:sz w:val="20"/>
                <w:szCs w:val="20"/>
              </w:rPr>
            </w:pPr>
          </w:p>
        </w:tc>
      </w:tr>
      <w:tr w:rsidR="00C45EE6" w:rsidRPr="00C45EE6" w14:paraId="4EB2FA69" w14:textId="77777777" w:rsidTr="00C3004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4DA5285B"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17.</w:t>
            </w:r>
          </w:p>
        </w:tc>
        <w:tc>
          <w:tcPr>
            <w:tcW w:w="997" w:type="pct"/>
            <w:tcBorders>
              <w:top w:val="single" w:sz="4" w:space="0" w:color="auto"/>
              <w:left w:val="single" w:sz="4" w:space="0" w:color="auto"/>
              <w:bottom w:val="single" w:sz="4" w:space="0" w:color="auto"/>
              <w:right w:val="single" w:sz="4" w:space="0" w:color="auto"/>
            </w:tcBorders>
          </w:tcPr>
          <w:p w14:paraId="5409FD4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E458A6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CDC029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Pregovaranje tijekom postupka ocjenjivanja ponuda uključujući i izmjenu odabrane ponude</w:t>
            </w:r>
          </w:p>
          <w:p w14:paraId="4F5D0F69" w14:textId="77777777" w:rsidR="00C45EE6" w:rsidRPr="00C45EE6" w:rsidRDefault="00C45EE6" w:rsidP="00C45EE6">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02508F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7D67D3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Javni naručitelj dopustio je ponuditelju izmjenu ponude tijekom postupka ocjenjivanja te je temeljem tako izmijenjene ponude došlo do prihvaćanja te ponude                                       </w:t>
            </w:r>
          </w:p>
          <w:p w14:paraId="2A8EA6B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ili                                                                                                   </w:t>
            </w:r>
          </w:p>
          <w:p w14:paraId="3D9F4886"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22AE086F"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0986564E" w14:textId="77777777" w:rsidR="00C45EE6" w:rsidRPr="00C45EE6" w:rsidRDefault="00C45EE6" w:rsidP="00C45EE6">
            <w:pPr>
              <w:spacing w:after="0" w:line="240" w:lineRule="auto"/>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1A9A8DC" w14:textId="77777777" w:rsidR="00C45EE6" w:rsidRPr="00C45EE6" w:rsidRDefault="00C45EE6" w:rsidP="00C45EE6">
            <w:pPr>
              <w:spacing w:after="0" w:line="240" w:lineRule="auto"/>
              <w:jc w:val="both"/>
              <w:rPr>
                <w:rFonts w:ascii="Times New Roman" w:eastAsia="Calibri" w:hAnsi="Times New Roman"/>
                <w:sz w:val="20"/>
                <w:szCs w:val="20"/>
              </w:rPr>
            </w:pPr>
            <w:r w:rsidRPr="00C45EE6" w:rsidDel="00FE1361">
              <w:rPr>
                <w:rFonts w:ascii="Times New Roman" w:eastAsia="Calibri" w:hAnsi="Times New Roman"/>
                <w:sz w:val="20"/>
                <w:szCs w:val="20"/>
              </w:rPr>
              <w:t>25</w:t>
            </w:r>
            <w:r w:rsidRPr="00C45EE6">
              <w:rPr>
                <w:rFonts w:ascii="Times New Roman" w:eastAsia="Calibri" w:hAnsi="Times New Roman"/>
                <w:sz w:val="20"/>
                <w:szCs w:val="20"/>
              </w:rPr>
              <w:t xml:space="preserve">% od ugovorenog iznosa </w:t>
            </w:r>
          </w:p>
          <w:p w14:paraId="64BFAE13" w14:textId="77777777" w:rsidR="00C45EE6" w:rsidRPr="00C45EE6" w:rsidRDefault="00C45EE6" w:rsidP="00C45EE6">
            <w:pPr>
              <w:spacing w:after="0" w:line="240" w:lineRule="auto"/>
              <w:jc w:val="both"/>
              <w:rPr>
                <w:rFonts w:ascii="Times New Roman" w:eastAsia="Calibri" w:hAnsi="Times New Roman"/>
                <w:sz w:val="20"/>
                <w:szCs w:val="20"/>
              </w:rPr>
            </w:pPr>
          </w:p>
          <w:p w14:paraId="28860AE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Ispravak se može smanjiti na 10% ili 5% od ugovorenog iznosa, ovisno o ozbiljnosti nepravilnosti</w:t>
            </w:r>
          </w:p>
          <w:p w14:paraId="395D6330" w14:textId="77777777" w:rsidR="00C45EE6" w:rsidRPr="00C45EE6" w:rsidRDefault="00C45EE6" w:rsidP="00C45EE6">
            <w:pPr>
              <w:spacing w:after="160" w:line="259" w:lineRule="auto"/>
              <w:jc w:val="both"/>
              <w:rPr>
                <w:rFonts w:ascii="Times New Roman" w:eastAsia="Calibri" w:hAnsi="Times New Roman"/>
                <w:sz w:val="20"/>
                <w:szCs w:val="20"/>
              </w:rPr>
            </w:pPr>
          </w:p>
        </w:tc>
      </w:tr>
      <w:tr w:rsidR="00C45EE6" w:rsidRPr="00C45EE6" w14:paraId="40DE624D" w14:textId="77777777" w:rsidTr="00C3004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33D5D0B" w14:textId="77777777" w:rsidR="00C45EE6" w:rsidRPr="00C45EE6" w:rsidRDefault="00C45EE6" w:rsidP="00C45EE6">
            <w:pPr>
              <w:spacing w:after="0" w:line="240" w:lineRule="auto"/>
              <w:rPr>
                <w:rFonts w:ascii="Times New Roman" w:eastAsia="Calibri" w:hAnsi="Times New Roman"/>
                <w:sz w:val="16"/>
                <w:szCs w:val="16"/>
              </w:rPr>
            </w:pPr>
            <w:r w:rsidRPr="00C45EE6">
              <w:rPr>
                <w:rFonts w:ascii="Times New Roman" w:eastAsia="Calibri" w:hAnsi="Times New Roman"/>
                <w:sz w:val="16"/>
                <w:szCs w:val="16"/>
              </w:rPr>
              <w:lastRenderedPageBreak/>
              <w:t>18.</w:t>
            </w:r>
          </w:p>
        </w:tc>
        <w:tc>
          <w:tcPr>
            <w:tcW w:w="997" w:type="pct"/>
            <w:tcBorders>
              <w:top w:val="single" w:sz="4" w:space="0" w:color="auto"/>
              <w:left w:val="single" w:sz="4" w:space="0" w:color="auto"/>
              <w:bottom w:val="single" w:sz="4" w:space="0" w:color="auto"/>
              <w:right w:val="single" w:sz="4" w:space="0" w:color="auto"/>
            </w:tcBorders>
          </w:tcPr>
          <w:p w14:paraId="2427531A" w14:textId="77777777" w:rsidR="00C45EE6" w:rsidRPr="00C45EE6" w:rsidRDefault="00C45EE6" w:rsidP="00C45EE6">
            <w:pPr>
              <w:spacing w:after="0" w:line="240" w:lineRule="auto"/>
              <w:rPr>
                <w:rFonts w:ascii="Times New Roman" w:eastAsia="Calibri" w:hAnsi="Times New Roman"/>
                <w:sz w:val="20"/>
                <w:szCs w:val="20"/>
              </w:rPr>
            </w:pPr>
            <w:r w:rsidRPr="00C45EE6">
              <w:rPr>
                <w:rFonts w:ascii="Times New Roman" w:eastAsia="Calibri" w:hAnsi="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13ABD9B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2CB65E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pregovaračkom postupku s prethodnom objavom poziva na nadmetanje, početni uvjeti ugovora znatno su izmijenjeni, čime se opravdava objava novog nadmetanja</w:t>
            </w:r>
          </w:p>
          <w:p w14:paraId="1011C39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48820F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4565594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5C1FDA4E" w14:textId="77777777" w:rsidR="00C45EE6" w:rsidRPr="00C45EE6" w:rsidRDefault="00C45EE6" w:rsidP="00C45EE6">
            <w:pPr>
              <w:spacing w:after="0" w:line="240" w:lineRule="auto"/>
              <w:jc w:val="both"/>
              <w:rPr>
                <w:rFonts w:ascii="Times New Roman" w:eastAsia="Calibri" w:hAnsi="Times New Roman"/>
                <w:sz w:val="20"/>
                <w:szCs w:val="20"/>
              </w:rPr>
            </w:pPr>
            <w:r w:rsidRPr="00C45EE6" w:rsidDel="00FE1361">
              <w:rPr>
                <w:rFonts w:ascii="Times New Roman" w:eastAsia="Calibri" w:hAnsi="Times New Roman"/>
                <w:sz w:val="20"/>
                <w:szCs w:val="20"/>
              </w:rPr>
              <w:t>25</w:t>
            </w:r>
            <w:r w:rsidRPr="00C45EE6">
              <w:rPr>
                <w:rFonts w:ascii="Times New Roman" w:eastAsia="Calibri" w:hAnsi="Times New Roman"/>
                <w:sz w:val="20"/>
                <w:szCs w:val="20"/>
              </w:rPr>
              <w:t xml:space="preserve">% od ugovorenog iznosa </w:t>
            </w:r>
          </w:p>
          <w:p w14:paraId="4D06BB6D" w14:textId="77777777" w:rsidR="00C45EE6" w:rsidRPr="00C45EE6" w:rsidRDefault="00C45EE6" w:rsidP="00C45EE6">
            <w:pPr>
              <w:spacing w:after="0" w:line="240" w:lineRule="auto"/>
              <w:jc w:val="both"/>
              <w:rPr>
                <w:rFonts w:ascii="Times New Roman" w:eastAsia="Calibri" w:hAnsi="Times New Roman"/>
                <w:sz w:val="20"/>
                <w:szCs w:val="20"/>
              </w:rPr>
            </w:pPr>
          </w:p>
          <w:p w14:paraId="16511D5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Ispravak se može smanjiti na 10% ili 5% od ugovorenog iznosa, ovisno o ozbiljnosti nepravilnosti</w:t>
            </w:r>
          </w:p>
        </w:tc>
      </w:tr>
      <w:tr w:rsidR="00C45EE6" w:rsidRPr="00C45EE6" w14:paraId="7FF7C36B" w14:textId="77777777" w:rsidTr="00C3004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2E6DEE74" w14:textId="77777777" w:rsidR="00C45EE6" w:rsidRPr="00C45EE6" w:rsidRDefault="00C45EE6" w:rsidP="00C45EE6">
            <w:pPr>
              <w:spacing w:after="0" w:line="240" w:lineRule="auto"/>
              <w:rPr>
                <w:rFonts w:ascii="Times New Roman" w:eastAsia="Calibri" w:hAnsi="Times New Roman"/>
                <w:sz w:val="16"/>
                <w:szCs w:val="16"/>
              </w:rPr>
            </w:pPr>
            <w:r w:rsidRPr="00C45EE6">
              <w:rPr>
                <w:rFonts w:ascii="Times New Roman" w:eastAsia="Calibri" w:hAnsi="Times New Roman"/>
                <w:sz w:val="16"/>
                <w:szCs w:val="16"/>
              </w:rPr>
              <w:t>19.</w:t>
            </w:r>
          </w:p>
        </w:tc>
        <w:tc>
          <w:tcPr>
            <w:tcW w:w="997" w:type="pct"/>
            <w:tcBorders>
              <w:top w:val="single" w:sz="4" w:space="0" w:color="auto"/>
              <w:left w:val="single" w:sz="4" w:space="0" w:color="auto"/>
              <w:bottom w:val="single" w:sz="4" w:space="0" w:color="auto"/>
              <w:right w:val="single" w:sz="4" w:space="0" w:color="auto"/>
            </w:tcBorders>
          </w:tcPr>
          <w:p w14:paraId="4A61A0BF" w14:textId="77777777" w:rsidR="00C45EE6" w:rsidRPr="00C45EE6" w:rsidRDefault="00C45EE6" w:rsidP="00C45EE6">
            <w:pPr>
              <w:spacing w:after="0" w:line="240" w:lineRule="auto"/>
              <w:rPr>
                <w:rFonts w:ascii="Times New Roman" w:eastAsia="Calibri" w:hAnsi="Times New Roman"/>
                <w:sz w:val="20"/>
                <w:szCs w:val="20"/>
              </w:rPr>
            </w:pPr>
            <w:r w:rsidRPr="00C45EE6">
              <w:rPr>
                <w:rFonts w:ascii="Times New Roman" w:eastAsia="Calibri" w:hAnsi="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1E60999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7AF1771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C72BED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79111AE5"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041B1A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3488A2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0E93FD4"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F42884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6673B51B"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25% od ugovorenog iznosa uz mogućnost umanjenja na 10% ili 5%, ovisno o ozbiljnosti nepravilnosti </w:t>
            </w:r>
          </w:p>
        </w:tc>
      </w:tr>
      <w:tr w:rsidR="00C45EE6" w:rsidRPr="00C45EE6" w14:paraId="634258A8" w14:textId="77777777" w:rsidTr="00C30045">
        <w:trPr>
          <w:trHeight w:val="1958"/>
        </w:trPr>
        <w:tc>
          <w:tcPr>
            <w:tcW w:w="254" w:type="pct"/>
            <w:vMerge w:val="restart"/>
            <w:tcBorders>
              <w:top w:val="single" w:sz="4" w:space="0" w:color="auto"/>
              <w:left w:val="single" w:sz="4" w:space="0" w:color="auto"/>
              <w:right w:val="single" w:sz="4" w:space="0" w:color="auto"/>
            </w:tcBorders>
            <w:vAlign w:val="center"/>
            <w:hideMark/>
          </w:tcPr>
          <w:p w14:paraId="5F10CE50"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20.</w:t>
            </w:r>
          </w:p>
        </w:tc>
        <w:tc>
          <w:tcPr>
            <w:tcW w:w="997" w:type="pct"/>
            <w:vMerge w:val="restart"/>
            <w:tcBorders>
              <w:top w:val="single" w:sz="4" w:space="0" w:color="auto"/>
              <w:left w:val="single" w:sz="4" w:space="0" w:color="auto"/>
              <w:right w:val="single" w:sz="4" w:space="0" w:color="auto"/>
            </w:tcBorders>
            <w:hideMark/>
          </w:tcPr>
          <w:p w14:paraId="22C7C96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Karteli-nedopušten</w:t>
            </w:r>
            <w:r w:rsidRPr="00C45EE6" w:rsidDel="005B4B4F">
              <w:rPr>
                <w:rFonts w:ascii="Times New Roman" w:eastAsia="Calibri" w:hAnsi="Times New Roman"/>
                <w:sz w:val="20"/>
                <w:szCs w:val="20"/>
              </w:rPr>
              <w:t>o</w:t>
            </w:r>
            <w:r w:rsidRPr="00C45EE6">
              <w:rPr>
                <w:rFonts w:ascii="Times New Roman" w:eastAsia="Calibri" w:hAnsi="Times New Roman"/>
                <w:sz w:val="20"/>
                <w:szCs w:val="20"/>
              </w:rPr>
              <w:t xml:space="preserve"> </w:t>
            </w:r>
            <w:r w:rsidRPr="00C45EE6" w:rsidDel="005B4B4F">
              <w:rPr>
                <w:rFonts w:ascii="Times New Roman" w:eastAsia="Calibri" w:hAnsi="Times New Roman"/>
                <w:sz w:val="20"/>
                <w:szCs w:val="20"/>
              </w:rPr>
              <w:t xml:space="preserve">dogovaranje </w:t>
            </w:r>
            <w:r w:rsidRPr="00C45EE6">
              <w:rPr>
                <w:rFonts w:ascii="Times New Roman" w:eastAsia="Calibri" w:hAnsi="Times New Roman"/>
                <w:sz w:val="20"/>
                <w:szCs w:val="20"/>
              </w:rPr>
              <w:t>sporazumi ponuditelja u postupku nabave</w:t>
            </w:r>
          </w:p>
          <w:p w14:paraId="65853A72"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432007B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3ED4212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B09188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56FDFB4E"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right w:val="single" w:sz="4" w:space="0" w:color="auto"/>
            </w:tcBorders>
            <w:hideMark/>
          </w:tcPr>
          <w:p w14:paraId="689ED5A5"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100% od ugovorenog iznosa </w:t>
            </w:r>
          </w:p>
          <w:p w14:paraId="307713E0"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305559E9" w14:textId="77777777" w:rsidTr="00C30045">
        <w:trPr>
          <w:trHeight w:val="1480"/>
        </w:trPr>
        <w:tc>
          <w:tcPr>
            <w:tcW w:w="254" w:type="pct"/>
            <w:vMerge/>
            <w:tcBorders>
              <w:top w:val="single" w:sz="4" w:space="0" w:color="auto"/>
              <w:left w:val="single" w:sz="4" w:space="0" w:color="auto"/>
              <w:right w:val="single" w:sz="4" w:space="0" w:color="auto"/>
            </w:tcBorders>
            <w:vAlign w:val="center"/>
          </w:tcPr>
          <w:p w14:paraId="03500E89" w14:textId="77777777" w:rsidR="00C45EE6" w:rsidRPr="00C45EE6" w:rsidRDefault="00C45EE6" w:rsidP="00C45EE6">
            <w:pPr>
              <w:spacing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right w:val="single" w:sz="4" w:space="0" w:color="auto"/>
            </w:tcBorders>
          </w:tcPr>
          <w:p w14:paraId="314A47A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09ABC01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CF5FF5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451682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slučaju kada su u postupku javne nabave sudjelovali samo ponuditelji koji su stvorili kartel, tržišno natjecanje je otežano.</w:t>
            </w:r>
          </w:p>
          <w:p w14:paraId="62164955"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bottom w:val="single" w:sz="4" w:space="0" w:color="auto"/>
              <w:right w:val="single" w:sz="4" w:space="0" w:color="auto"/>
            </w:tcBorders>
          </w:tcPr>
          <w:p w14:paraId="0C082A8F"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25% od ugovorenog iznosa</w:t>
            </w:r>
          </w:p>
        </w:tc>
      </w:tr>
      <w:tr w:rsidR="00C45EE6" w:rsidRPr="00C45EE6" w14:paraId="278E642B" w14:textId="77777777" w:rsidTr="00C30045">
        <w:trPr>
          <w:trHeight w:val="4000"/>
        </w:trPr>
        <w:tc>
          <w:tcPr>
            <w:tcW w:w="254" w:type="pct"/>
            <w:vMerge/>
            <w:tcBorders>
              <w:left w:val="single" w:sz="4" w:space="0" w:color="auto"/>
              <w:right w:val="single" w:sz="4" w:space="0" w:color="auto"/>
            </w:tcBorders>
            <w:vAlign w:val="center"/>
          </w:tcPr>
          <w:p w14:paraId="55670EB1" w14:textId="77777777" w:rsidR="00C45EE6" w:rsidRPr="00C45EE6" w:rsidRDefault="00C45EE6" w:rsidP="00C45EE6">
            <w:pPr>
              <w:spacing w:after="0" w:line="240" w:lineRule="auto"/>
              <w:jc w:val="center"/>
              <w:rPr>
                <w:rFonts w:ascii="Times New Roman" w:eastAsia="Calibri" w:hAnsi="Times New Roman"/>
                <w:sz w:val="16"/>
                <w:szCs w:val="16"/>
              </w:rPr>
            </w:pPr>
          </w:p>
        </w:tc>
        <w:tc>
          <w:tcPr>
            <w:tcW w:w="997" w:type="pct"/>
            <w:vMerge/>
            <w:tcBorders>
              <w:left w:val="single" w:sz="4" w:space="0" w:color="auto"/>
              <w:right w:val="single" w:sz="4" w:space="0" w:color="auto"/>
            </w:tcBorders>
          </w:tcPr>
          <w:p w14:paraId="6DAB8E57"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right w:val="single" w:sz="4" w:space="0" w:color="auto"/>
            </w:tcBorders>
          </w:tcPr>
          <w:p w14:paraId="69808AF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highlight w:val="yellow"/>
              </w:rPr>
            </w:pPr>
            <w:r w:rsidRPr="00C45EE6">
              <w:rPr>
                <w:rFonts w:ascii="Times New Roman" w:eastAsia="Calibri" w:hAnsi="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03607DE7"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10% od ugovorenog iznosa</w:t>
            </w:r>
          </w:p>
          <w:p w14:paraId="27CABBAB" w14:textId="77777777" w:rsidR="00C45EE6" w:rsidRPr="00C45EE6" w:rsidRDefault="00C45EE6" w:rsidP="00C45EE6">
            <w:pPr>
              <w:spacing w:after="0" w:line="240" w:lineRule="auto"/>
              <w:jc w:val="both"/>
              <w:rPr>
                <w:rFonts w:ascii="Times New Roman" w:eastAsia="Calibri" w:hAnsi="Times New Roman"/>
                <w:sz w:val="20"/>
                <w:szCs w:val="20"/>
                <w:highlight w:val="yellow"/>
              </w:rPr>
            </w:pPr>
          </w:p>
        </w:tc>
      </w:tr>
      <w:tr w:rsidR="00C45EE6" w:rsidRPr="00C45EE6" w14:paraId="14121B06" w14:textId="77777777" w:rsidTr="00C3004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CA57F52" w14:textId="77777777" w:rsidR="00C45EE6" w:rsidRPr="00C45EE6" w:rsidDel="00681267" w:rsidRDefault="00C45EE6" w:rsidP="00C45EE6">
            <w:pPr>
              <w:spacing w:after="0" w:line="240" w:lineRule="auto"/>
              <w:jc w:val="center"/>
              <w:rPr>
                <w:rFonts w:ascii="Times New Roman" w:eastAsia="Calibri" w:hAnsi="Times New Roman"/>
                <w:sz w:val="20"/>
                <w:szCs w:val="20"/>
                <w:highlight w:val="yellow"/>
              </w:rPr>
            </w:pPr>
            <w:r w:rsidRPr="00C45EE6">
              <w:rPr>
                <w:rFonts w:ascii="Times New Roman" w:eastAsia="Calibri" w:hAnsi="Times New Roman"/>
                <w:b/>
                <w:sz w:val="20"/>
                <w:szCs w:val="20"/>
              </w:rPr>
              <w:t>Izvršavanje ugovora</w:t>
            </w:r>
          </w:p>
        </w:tc>
      </w:tr>
      <w:tr w:rsidR="00C45EE6" w:rsidRPr="00C45EE6" w14:paraId="3F2C8CF8" w14:textId="77777777" w:rsidTr="00C30045">
        <w:tc>
          <w:tcPr>
            <w:tcW w:w="254" w:type="pct"/>
            <w:vMerge w:val="restart"/>
            <w:tcBorders>
              <w:top w:val="single" w:sz="4" w:space="0" w:color="auto"/>
              <w:left w:val="single" w:sz="4" w:space="0" w:color="auto"/>
              <w:right w:val="single" w:sz="4" w:space="0" w:color="auto"/>
            </w:tcBorders>
            <w:vAlign w:val="center"/>
          </w:tcPr>
          <w:p w14:paraId="15A36B6E"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21.</w:t>
            </w:r>
          </w:p>
        </w:tc>
        <w:tc>
          <w:tcPr>
            <w:tcW w:w="997" w:type="pct"/>
            <w:vMerge w:val="restart"/>
            <w:tcBorders>
              <w:top w:val="single" w:sz="4" w:space="0" w:color="auto"/>
              <w:left w:val="single" w:sz="4" w:space="0" w:color="auto"/>
              <w:right w:val="single" w:sz="4" w:space="0" w:color="auto"/>
            </w:tcBorders>
          </w:tcPr>
          <w:p w14:paraId="395D21E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Izmjena elemenata ugovora određenih u pozivu na nadmetanje ili dokumentaciji o nabavi suprotno relevantnim pravilima </w:t>
            </w:r>
            <w:r w:rsidRPr="00C45EE6">
              <w:rPr>
                <w:rFonts w:ascii="Times New Roman" w:eastAsia="Calibri" w:hAnsi="Times New Roman"/>
                <w:sz w:val="20"/>
                <w:szCs w:val="20"/>
                <w:vertAlign w:val="superscript"/>
              </w:rPr>
              <w:footnoteReference w:id="9"/>
            </w:r>
          </w:p>
          <w:p w14:paraId="44EB0EBC"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Izmjena se smatra značajnom ako </w:t>
            </w:r>
            <w:r w:rsidRPr="00C45EE6">
              <w:rPr>
                <w:rFonts w:ascii="Times New Roman" w:eastAsia="Calibri" w:hAnsi="Times New Roman"/>
                <w:sz w:val="20"/>
                <w:szCs w:val="20"/>
                <w:vertAlign w:val="superscript"/>
              </w:rPr>
              <w:footnoteReference w:id="10"/>
            </w:r>
            <w:r w:rsidRPr="00C45EE6">
              <w:rPr>
                <w:rFonts w:ascii="Times New Roman" w:eastAsia="Calibri" w:hAnsi="Times New Roman"/>
                <w:sz w:val="20"/>
                <w:szCs w:val="20"/>
              </w:rPr>
              <w:t>:</w:t>
            </w:r>
          </w:p>
          <w:p w14:paraId="08A11E63" w14:textId="77777777" w:rsidR="00C45EE6" w:rsidRPr="00C45EE6" w:rsidRDefault="00C45EE6" w:rsidP="00C45EE6">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naručitelj izmjenom unosi uvjete, koji da su bili dio prvotnog postupka  javne nabave, bi omogućili </w:t>
            </w:r>
            <w:r w:rsidRPr="00C45EE6">
              <w:rPr>
                <w:rFonts w:ascii="Times New Roman" w:eastAsia="Calibri" w:hAnsi="Times New Roman"/>
                <w:sz w:val="20"/>
                <w:szCs w:val="20"/>
              </w:rPr>
              <w:lastRenderedPageBreak/>
              <w:t>uključivanje drugih ponuditelja različitih od onih koji su prvotno odabrani,</w:t>
            </w:r>
          </w:p>
          <w:p w14:paraId="28177882" w14:textId="77777777" w:rsidR="00C45EE6" w:rsidRPr="00C45EE6" w:rsidRDefault="00C45EE6" w:rsidP="00C45EE6">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45EE6">
              <w:rPr>
                <w:rFonts w:ascii="Times New Roman" w:eastAsia="Calibri" w:hAnsi="Times New Roman"/>
                <w:sz w:val="20"/>
                <w:szCs w:val="20"/>
              </w:rPr>
              <w:t>dodjela ugovora ugovaratelju različitom  od onog kojem je prvotno dodijeljen ugovor,</w:t>
            </w:r>
          </w:p>
          <w:p w14:paraId="2776E413" w14:textId="77777777" w:rsidR="00C45EE6" w:rsidRPr="00C45EE6" w:rsidRDefault="00C45EE6" w:rsidP="00C45EE6">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45EE6">
              <w:rPr>
                <w:rFonts w:ascii="Times New Roman" w:eastAsia="Calibri" w:hAnsi="Times New Roman"/>
                <w:sz w:val="20"/>
                <w:szCs w:val="20"/>
              </w:rPr>
              <w:t>naručitelj značajno povećava opseg ugovora koji sadržava radove/usluge/ robe koje nisu prvotno tražene.</w:t>
            </w:r>
          </w:p>
          <w:p w14:paraId="1718865F"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(d) i</w:t>
            </w:r>
            <w:r w:rsidRPr="00C45EE6" w:rsidDel="009F5860">
              <w:rPr>
                <w:rFonts w:ascii="Times New Roman" w:eastAsia="Calibri" w:hAnsi="Times New Roman"/>
                <w:sz w:val="20"/>
                <w:szCs w:val="20"/>
              </w:rPr>
              <w:t>z</w:t>
            </w:r>
            <w:r w:rsidRPr="00C45EE6">
              <w:rPr>
                <w:rFonts w:ascii="Times New Roman" w:eastAsia="Calibri" w:hAnsi="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22E79958"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29F28C9A" w14:textId="77777777" w:rsidR="00C45EE6" w:rsidRPr="00C45EE6" w:rsidDel="000C3E31" w:rsidRDefault="00C45EE6" w:rsidP="00C45EE6">
            <w:pPr>
              <w:spacing w:after="0" w:line="240" w:lineRule="auto"/>
              <w:jc w:val="both"/>
              <w:rPr>
                <w:rFonts w:ascii="Times New Roman" w:eastAsia="Calibri" w:hAnsi="Times New Roman"/>
                <w:sz w:val="20"/>
                <w:szCs w:val="20"/>
              </w:rPr>
            </w:pPr>
            <w:r w:rsidRPr="00C45EE6" w:rsidDel="000C3E31">
              <w:rPr>
                <w:rFonts w:ascii="Times New Roman" w:eastAsia="Calibri" w:hAnsi="Times New Roman"/>
                <w:sz w:val="20"/>
                <w:szCs w:val="20"/>
              </w:rPr>
              <w:t xml:space="preserve">25% </w:t>
            </w:r>
          </w:p>
          <w:p w14:paraId="5908BC4C" w14:textId="77777777" w:rsidR="00C45EE6" w:rsidRPr="00C45EE6" w:rsidRDefault="00C45EE6" w:rsidP="00C45EE6">
            <w:pPr>
              <w:spacing w:after="0" w:line="240" w:lineRule="auto"/>
              <w:jc w:val="both"/>
              <w:rPr>
                <w:rFonts w:ascii="Times New Roman" w:eastAsia="Calibri" w:hAnsi="Times New Roman"/>
                <w:sz w:val="20"/>
                <w:szCs w:val="20"/>
              </w:rPr>
            </w:pPr>
            <w:r w:rsidRPr="00C45EE6" w:rsidDel="00977C92">
              <w:rPr>
                <w:rFonts w:ascii="Times New Roman" w:eastAsia="Calibri" w:hAnsi="Times New Roman"/>
                <w:sz w:val="20"/>
                <w:szCs w:val="20"/>
              </w:rPr>
              <w:t>od iznosa inicijalnog ugovora i vrijednosti dodatnog iznosa ugovora proizašlog iz izmjene elemenata ugovora</w:t>
            </w:r>
          </w:p>
        </w:tc>
      </w:tr>
      <w:tr w:rsidR="00C45EE6" w:rsidRPr="00C45EE6" w14:paraId="311BFFBA" w14:textId="77777777" w:rsidTr="00C30045">
        <w:tc>
          <w:tcPr>
            <w:tcW w:w="254" w:type="pct"/>
            <w:vMerge/>
            <w:tcBorders>
              <w:left w:val="single" w:sz="4" w:space="0" w:color="auto"/>
              <w:bottom w:val="single" w:sz="4" w:space="0" w:color="auto"/>
              <w:right w:val="single" w:sz="4" w:space="0" w:color="auto"/>
            </w:tcBorders>
            <w:vAlign w:val="center"/>
          </w:tcPr>
          <w:p w14:paraId="2B28EC5F" w14:textId="77777777" w:rsidR="00C45EE6" w:rsidRPr="00C45EE6" w:rsidRDefault="00C45EE6" w:rsidP="00C45EE6">
            <w:pPr>
              <w:spacing w:after="0" w:line="240" w:lineRule="auto"/>
              <w:jc w:val="center"/>
              <w:rPr>
                <w:rFonts w:ascii="Times New Roman" w:eastAsia="Calibri" w:hAnsi="Times New Roman"/>
                <w:sz w:val="16"/>
                <w:szCs w:val="16"/>
              </w:rPr>
            </w:pPr>
          </w:p>
        </w:tc>
        <w:tc>
          <w:tcPr>
            <w:tcW w:w="997" w:type="pct"/>
            <w:vMerge/>
            <w:tcBorders>
              <w:left w:val="single" w:sz="4" w:space="0" w:color="auto"/>
              <w:right w:val="single" w:sz="4" w:space="0" w:color="auto"/>
            </w:tcBorders>
          </w:tcPr>
          <w:p w14:paraId="5C00D00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26397C6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Izmjena ugovora o javnoj nabavi tijekom njegova trajanja smatra se značajnom ako njome ugovor postaje značajno različit po svojoj naravi od prvotno zaključenog.</w:t>
            </w:r>
          </w:p>
          <w:p w14:paraId="066554E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Izmjena se u svakom slučaju smatra značajnom ako je ispunjen jedan ili više sljedećih uvjeta:</w:t>
            </w:r>
          </w:p>
          <w:p w14:paraId="7877F11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2C682BB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3362B03A"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2. izmjenom se mijenja ekonomska ravnoteža ugovora u korist ugovaratelja na način koji nije predviđen prvotnim ugovorom</w:t>
            </w:r>
          </w:p>
          <w:p w14:paraId="6C0F6E3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2705442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3. izmjenom se značajno povećava opseg ugovora</w:t>
            </w:r>
          </w:p>
          <w:p w14:paraId="10152B5F"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72D97C2"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4B23A273"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5C0799C6" w14:textId="77777777" w:rsidTr="00C30045">
        <w:tc>
          <w:tcPr>
            <w:tcW w:w="254" w:type="pct"/>
            <w:tcBorders>
              <w:top w:val="single" w:sz="4" w:space="0" w:color="auto"/>
              <w:left w:val="single" w:sz="4" w:space="0" w:color="auto"/>
              <w:bottom w:val="single" w:sz="4" w:space="0" w:color="auto"/>
              <w:right w:val="single" w:sz="4" w:space="0" w:color="auto"/>
            </w:tcBorders>
            <w:vAlign w:val="center"/>
          </w:tcPr>
          <w:p w14:paraId="1A2E5645" w14:textId="77777777" w:rsidR="00C45EE6" w:rsidRPr="00C45EE6" w:rsidRDefault="00C45EE6" w:rsidP="00C45EE6">
            <w:pPr>
              <w:spacing w:after="0" w:line="240" w:lineRule="auto"/>
              <w:jc w:val="center"/>
              <w:rPr>
                <w:rFonts w:ascii="Times New Roman" w:eastAsia="Calibri" w:hAnsi="Times New Roman"/>
                <w:sz w:val="16"/>
                <w:szCs w:val="16"/>
              </w:rPr>
            </w:pPr>
            <w:r w:rsidRPr="00C45EE6">
              <w:rPr>
                <w:rFonts w:ascii="Times New Roman" w:eastAsia="Calibri" w:hAnsi="Times New Roman"/>
                <w:sz w:val="16"/>
                <w:szCs w:val="16"/>
              </w:rPr>
              <w:t>22.</w:t>
            </w:r>
          </w:p>
        </w:tc>
        <w:tc>
          <w:tcPr>
            <w:tcW w:w="997" w:type="pct"/>
            <w:tcBorders>
              <w:top w:val="single" w:sz="4" w:space="0" w:color="auto"/>
              <w:left w:val="single" w:sz="4" w:space="0" w:color="auto"/>
              <w:bottom w:val="single" w:sz="4" w:space="0" w:color="auto"/>
              <w:right w:val="single" w:sz="4" w:space="0" w:color="auto"/>
            </w:tcBorders>
          </w:tcPr>
          <w:p w14:paraId="7EB0446B"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4B3DB548" w14:textId="77777777" w:rsidR="00C45EE6" w:rsidRPr="00C45EE6" w:rsidRDefault="00C45EE6" w:rsidP="00C45EE6">
            <w:pPr>
              <w:widowControl w:val="0"/>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Računi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1960611A" w14:textId="77777777" w:rsidR="00C45EE6" w:rsidRPr="00C45EE6" w:rsidDel="00EB0F30" w:rsidRDefault="00C45EE6" w:rsidP="00C45EE6">
            <w:pPr>
              <w:spacing w:after="0" w:line="240" w:lineRule="auto"/>
              <w:contextualSpacing/>
              <w:jc w:val="both"/>
              <w:rPr>
                <w:rFonts w:ascii="Times New Roman" w:hAnsi="Times New Roman"/>
                <w:sz w:val="20"/>
                <w:szCs w:val="20"/>
                <w:lang w:eastAsia="hr-HR"/>
              </w:rPr>
            </w:pPr>
            <w:r w:rsidRPr="00C45EE6" w:rsidDel="00EB0F30">
              <w:rPr>
                <w:rFonts w:ascii="Times New Roman" w:hAnsi="Times New Roman"/>
                <w:sz w:val="20"/>
                <w:szCs w:val="20"/>
                <w:lang w:eastAsia="hr-HR"/>
              </w:rPr>
              <w:t>Primjenjuje se jednostavna financijska korekcija u visini nastale financijske posljedice za ugovor o (javnoj) nabavi kada je tu posljedicu moguće količinski točno</w:t>
            </w:r>
            <w:r w:rsidRPr="00C45EE6">
              <w:rPr>
                <w:rFonts w:ascii="Times New Roman" w:hAnsi="Times New Roman"/>
                <w:sz w:val="20"/>
                <w:szCs w:val="20"/>
                <w:lang w:eastAsia="hr-HR"/>
              </w:rPr>
              <w:t xml:space="preserve"> odrediti i to samo u  slučajevima kada se radi o troškovima koji su prethodno certificirani.</w:t>
            </w:r>
          </w:p>
          <w:p w14:paraId="2179E309" w14:textId="77777777" w:rsidR="00C45EE6" w:rsidRPr="00C45EE6" w:rsidRDefault="00C45EE6" w:rsidP="00C45EE6">
            <w:pPr>
              <w:spacing w:after="0" w:line="240" w:lineRule="auto"/>
              <w:contextualSpacing/>
              <w:jc w:val="both"/>
              <w:rPr>
                <w:rFonts w:ascii="Times New Roman" w:hAnsi="Times New Roman"/>
                <w:sz w:val="20"/>
                <w:szCs w:val="20"/>
                <w:lang w:eastAsia="hr-HR"/>
              </w:rPr>
            </w:pPr>
          </w:p>
        </w:tc>
      </w:tr>
      <w:tr w:rsidR="00C45EE6" w:rsidRPr="00C45EE6" w14:paraId="45540753" w14:textId="77777777" w:rsidTr="00C30045">
        <w:trPr>
          <w:trHeight w:val="6171"/>
        </w:trPr>
        <w:tc>
          <w:tcPr>
            <w:tcW w:w="254" w:type="pct"/>
            <w:tcBorders>
              <w:top w:val="single" w:sz="4" w:space="0" w:color="auto"/>
              <w:left w:val="single" w:sz="4" w:space="0" w:color="auto"/>
              <w:right w:val="single" w:sz="4" w:space="0" w:color="auto"/>
            </w:tcBorders>
            <w:vAlign w:val="center"/>
          </w:tcPr>
          <w:p w14:paraId="2AA3220A" w14:textId="77777777" w:rsidR="00C45EE6" w:rsidRPr="00C45EE6" w:rsidRDefault="00C45EE6" w:rsidP="00C45EE6">
            <w:pPr>
              <w:spacing w:after="0" w:line="240" w:lineRule="auto"/>
              <w:jc w:val="center"/>
              <w:rPr>
                <w:rFonts w:ascii="Times New Roman" w:eastAsia="Calibri" w:hAnsi="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F5D9CB1"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5121F1" w14:textId="77777777" w:rsidR="00C45EE6" w:rsidRPr="00C45EE6" w:rsidRDefault="00C45EE6" w:rsidP="00C45EE6">
            <w:pPr>
              <w:spacing w:before="240"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24900D1E" w14:textId="77777777" w:rsidR="00C45EE6" w:rsidRPr="00C45EE6" w:rsidRDefault="00C45EE6" w:rsidP="00C45EE6">
            <w:pPr>
              <w:spacing w:after="0" w:line="240" w:lineRule="auto"/>
              <w:contextualSpacing/>
              <w:jc w:val="both"/>
              <w:rPr>
                <w:rFonts w:ascii="Times New Roman" w:hAnsi="Times New Roman"/>
                <w:sz w:val="20"/>
                <w:szCs w:val="20"/>
                <w:lang w:eastAsia="hr-HR"/>
              </w:rPr>
            </w:pPr>
          </w:p>
        </w:tc>
      </w:tr>
    </w:tbl>
    <w:p w14:paraId="43A9C34F" w14:textId="77777777" w:rsidR="00C45EE6" w:rsidRPr="00C45EE6" w:rsidRDefault="00C45EE6" w:rsidP="00C45EE6">
      <w:pPr>
        <w:spacing w:after="0" w:line="240" w:lineRule="auto"/>
        <w:ind w:left="-108" w:right="-145" w:firstLine="108"/>
        <w:contextualSpacing/>
        <w:rPr>
          <w:rFonts w:ascii="Times New Roman" w:eastAsia="Calibri" w:hAnsi="Times New Roman"/>
          <w:sz w:val="20"/>
          <w:szCs w:val="20"/>
        </w:rPr>
      </w:pPr>
    </w:p>
    <w:p w14:paraId="62B68477" w14:textId="77777777" w:rsidR="00C45EE6" w:rsidRPr="00C45EE6" w:rsidRDefault="00C45EE6" w:rsidP="00C45EE6">
      <w:pPr>
        <w:spacing w:after="0" w:line="240" w:lineRule="auto"/>
        <w:contextualSpacing/>
        <w:rPr>
          <w:rFonts w:ascii="Times New Roman" w:eastAsia="Calibri" w:hAnsi="Times New Roman"/>
          <w:sz w:val="20"/>
          <w:szCs w:val="20"/>
        </w:rPr>
      </w:pPr>
    </w:p>
    <w:p w14:paraId="0F04B01C" w14:textId="77777777" w:rsidR="00C45EE6" w:rsidRPr="00C45EE6" w:rsidRDefault="00C45EE6" w:rsidP="00C45EE6">
      <w:pPr>
        <w:spacing w:after="0" w:line="240" w:lineRule="auto"/>
        <w:contextualSpacing/>
        <w:rPr>
          <w:rFonts w:ascii="Times New Roman" w:eastAsia="Calibri" w:hAnsi="Times New Roman"/>
          <w:sz w:val="20"/>
          <w:szCs w:val="20"/>
        </w:rPr>
      </w:pPr>
    </w:p>
    <w:p w14:paraId="41E4E4B5" w14:textId="77777777" w:rsidR="00C45EE6" w:rsidRPr="00C45EE6" w:rsidRDefault="00C45EE6" w:rsidP="00C45EE6">
      <w:pPr>
        <w:spacing w:after="0" w:line="240" w:lineRule="auto"/>
        <w:contextualSpacing/>
        <w:rPr>
          <w:rFonts w:ascii="Times New Roman" w:eastAsia="Calibri" w:hAnsi="Times New Roman"/>
          <w:sz w:val="20"/>
          <w:szCs w:val="20"/>
        </w:rPr>
      </w:pPr>
    </w:p>
    <w:p w14:paraId="0526D8FC" w14:textId="2CCF9901" w:rsidR="00C45EE6" w:rsidRDefault="00C45EE6" w:rsidP="00C45EE6">
      <w:pPr>
        <w:spacing w:after="0" w:line="240" w:lineRule="auto"/>
        <w:contextualSpacing/>
        <w:jc w:val="both"/>
        <w:rPr>
          <w:rFonts w:ascii="Times New Roman" w:eastAsia="Calibri" w:hAnsi="Times New Roman"/>
          <w:sz w:val="20"/>
          <w:szCs w:val="20"/>
        </w:rPr>
      </w:pPr>
    </w:p>
    <w:p w14:paraId="332D8432" w14:textId="48C467C3" w:rsidR="00080C31" w:rsidRDefault="00080C31" w:rsidP="00C45EE6">
      <w:pPr>
        <w:spacing w:after="0" w:line="240" w:lineRule="auto"/>
        <w:contextualSpacing/>
        <w:jc w:val="both"/>
        <w:rPr>
          <w:rFonts w:ascii="Times New Roman" w:eastAsia="Calibri" w:hAnsi="Times New Roman"/>
          <w:sz w:val="20"/>
          <w:szCs w:val="20"/>
        </w:rPr>
      </w:pPr>
    </w:p>
    <w:p w14:paraId="31CD73B7" w14:textId="7F59BFAF" w:rsidR="00080C31" w:rsidRDefault="00080C31" w:rsidP="00C45EE6">
      <w:pPr>
        <w:spacing w:after="0" w:line="240" w:lineRule="auto"/>
        <w:contextualSpacing/>
        <w:jc w:val="both"/>
        <w:rPr>
          <w:rFonts w:ascii="Times New Roman" w:eastAsia="Calibri" w:hAnsi="Times New Roman"/>
          <w:sz w:val="20"/>
          <w:szCs w:val="20"/>
        </w:rPr>
      </w:pPr>
    </w:p>
    <w:p w14:paraId="311B9E20" w14:textId="37AAE602" w:rsidR="00080C31" w:rsidRDefault="00080C31" w:rsidP="00C45EE6">
      <w:pPr>
        <w:spacing w:after="0" w:line="240" w:lineRule="auto"/>
        <w:contextualSpacing/>
        <w:jc w:val="both"/>
        <w:rPr>
          <w:rFonts w:ascii="Times New Roman" w:eastAsia="Calibri" w:hAnsi="Times New Roman"/>
          <w:sz w:val="20"/>
          <w:szCs w:val="20"/>
        </w:rPr>
      </w:pPr>
    </w:p>
    <w:p w14:paraId="32469938" w14:textId="49B1A057" w:rsidR="00080C31" w:rsidRDefault="00080C31" w:rsidP="00C45EE6">
      <w:pPr>
        <w:spacing w:after="0" w:line="240" w:lineRule="auto"/>
        <w:contextualSpacing/>
        <w:jc w:val="both"/>
        <w:rPr>
          <w:rFonts w:ascii="Times New Roman" w:eastAsia="Calibri" w:hAnsi="Times New Roman"/>
          <w:sz w:val="20"/>
          <w:szCs w:val="20"/>
        </w:rPr>
      </w:pPr>
    </w:p>
    <w:p w14:paraId="3E61059E" w14:textId="6EFC259F" w:rsidR="00080C31" w:rsidRDefault="00080C31" w:rsidP="00C45EE6">
      <w:pPr>
        <w:spacing w:after="0" w:line="240" w:lineRule="auto"/>
        <w:contextualSpacing/>
        <w:jc w:val="both"/>
        <w:rPr>
          <w:rFonts w:ascii="Times New Roman" w:eastAsia="Calibri" w:hAnsi="Times New Roman"/>
          <w:sz w:val="20"/>
          <w:szCs w:val="20"/>
        </w:rPr>
      </w:pPr>
    </w:p>
    <w:p w14:paraId="5A3C2DBC" w14:textId="437AC3C0" w:rsidR="00080C31" w:rsidRDefault="00080C31" w:rsidP="00C45EE6">
      <w:pPr>
        <w:spacing w:after="0" w:line="240" w:lineRule="auto"/>
        <w:contextualSpacing/>
        <w:jc w:val="both"/>
        <w:rPr>
          <w:rFonts w:ascii="Times New Roman" w:eastAsia="Calibri" w:hAnsi="Times New Roman"/>
          <w:sz w:val="20"/>
          <w:szCs w:val="20"/>
        </w:rPr>
      </w:pPr>
    </w:p>
    <w:p w14:paraId="57B4740B" w14:textId="43B3DAE4" w:rsidR="00080C31" w:rsidRDefault="00080C31" w:rsidP="00C45EE6">
      <w:pPr>
        <w:spacing w:after="0" w:line="240" w:lineRule="auto"/>
        <w:contextualSpacing/>
        <w:jc w:val="both"/>
        <w:rPr>
          <w:rFonts w:ascii="Times New Roman" w:eastAsia="Calibri" w:hAnsi="Times New Roman"/>
          <w:sz w:val="20"/>
          <w:szCs w:val="20"/>
        </w:rPr>
      </w:pPr>
    </w:p>
    <w:p w14:paraId="0A5B5CCD" w14:textId="17E914D1" w:rsidR="00080C31" w:rsidRDefault="00080C31" w:rsidP="00C45EE6">
      <w:pPr>
        <w:spacing w:after="0" w:line="240" w:lineRule="auto"/>
        <w:contextualSpacing/>
        <w:jc w:val="both"/>
        <w:rPr>
          <w:rFonts w:ascii="Times New Roman" w:eastAsia="Calibri" w:hAnsi="Times New Roman"/>
          <w:sz w:val="20"/>
          <w:szCs w:val="20"/>
        </w:rPr>
      </w:pPr>
    </w:p>
    <w:p w14:paraId="63D047D3" w14:textId="77777777" w:rsidR="00080C31" w:rsidRDefault="00080C31" w:rsidP="00C45EE6">
      <w:pPr>
        <w:spacing w:after="0" w:line="240" w:lineRule="auto"/>
        <w:contextualSpacing/>
        <w:jc w:val="both"/>
        <w:rPr>
          <w:rFonts w:ascii="Times New Roman" w:eastAsia="Calibri" w:hAnsi="Times New Roman"/>
          <w:sz w:val="20"/>
          <w:szCs w:val="20"/>
        </w:rPr>
      </w:pPr>
    </w:p>
    <w:p w14:paraId="1F4C6439" w14:textId="77777777" w:rsidR="00080C31" w:rsidRPr="00C45EE6" w:rsidRDefault="00080C31" w:rsidP="00C45EE6">
      <w:pPr>
        <w:spacing w:after="0" w:line="240" w:lineRule="auto"/>
        <w:contextualSpacing/>
        <w:jc w:val="both"/>
        <w:rPr>
          <w:rFonts w:ascii="Times New Roman" w:eastAsia="Calibri" w:hAnsi="Times New Roman"/>
          <w:sz w:val="20"/>
          <w:szCs w:val="20"/>
        </w:rPr>
      </w:pPr>
    </w:p>
    <w:tbl>
      <w:tblPr>
        <w:tblStyle w:val="TableGrid1"/>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C45EE6" w:rsidRPr="00C45EE6" w14:paraId="74DF9F42" w14:textId="77777777" w:rsidTr="00C30045">
        <w:trPr>
          <w:trHeight w:val="2495"/>
        </w:trPr>
        <w:tc>
          <w:tcPr>
            <w:tcW w:w="9781" w:type="dxa"/>
            <w:gridSpan w:val="4"/>
            <w:tcBorders>
              <w:top w:val="nil"/>
              <w:left w:val="nil"/>
              <w:bottom w:val="single" w:sz="4" w:space="0" w:color="auto"/>
              <w:right w:val="nil"/>
            </w:tcBorders>
          </w:tcPr>
          <w:p w14:paraId="3E5EFE3C" w14:textId="77777777" w:rsidR="00C45EE6" w:rsidRPr="00C45EE6" w:rsidRDefault="00C45EE6" w:rsidP="00C45EE6">
            <w:pPr>
              <w:spacing w:after="240" w:line="240" w:lineRule="auto"/>
              <w:rPr>
                <w:rFonts w:eastAsia="Calibri"/>
                <w:b/>
              </w:rPr>
            </w:pPr>
          </w:p>
          <w:p w14:paraId="5D4C1099" w14:textId="77777777" w:rsidR="00C45EE6" w:rsidRPr="00C45EE6" w:rsidRDefault="00C45EE6" w:rsidP="00C45EE6">
            <w:pPr>
              <w:spacing w:after="240" w:line="240" w:lineRule="auto"/>
              <w:jc w:val="center"/>
              <w:rPr>
                <w:rFonts w:eastAsia="Calibri"/>
                <w:b/>
              </w:rPr>
            </w:pPr>
            <w:r w:rsidRPr="00C45EE6">
              <w:rPr>
                <w:rFonts w:eastAsia="Calibri"/>
                <w:b/>
              </w:rPr>
              <w:t>Prilog 2</w:t>
            </w:r>
          </w:p>
          <w:p w14:paraId="4A259E64" w14:textId="77777777" w:rsidR="00C45EE6" w:rsidRPr="00C45EE6" w:rsidRDefault="00C45EE6" w:rsidP="00C45EE6">
            <w:pPr>
              <w:spacing w:after="240" w:line="240" w:lineRule="auto"/>
              <w:jc w:val="center"/>
              <w:rPr>
                <w:rFonts w:eastAsia="Calibri"/>
                <w:b/>
              </w:rPr>
            </w:pPr>
            <w:r w:rsidRPr="00C45EE6">
              <w:rPr>
                <w:rFonts w:eastAsia="Calibri"/>
                <w:b/>
                <w:lang w:eastAsia="hr-HR"/>
              </w:rPr>
              <w:t>Nepravilnosti u kojima se određuje financijska korekcija – nabave koje provode neobveznici Zakona o javnoj nabavi</w:t>
            </w:r>
          </w:p>
          <w:p w14:paraId="203A2FE2" w14:textId="77777777" w:rsidR="00C45EE6" w:rsidRPr="00C45EE6" w:rsidRDefault="00C45EE6" w:rsidP="00C45EE6">
            <w:pPr>
              <w:widowControl w:val="0"/>
              <w:spacing w:after="240" w:line="240" w:lineRule="auto"/>
              <w:jc w:val="both"/>
              <w:rPr>
                <w:rFonts w:eastAsia="Calibri"/>
              </w:rPr>
            </w:pPr>
            <w:r w:rsidRPr="00C45EE6">
              <w:rPr>
                <w:rFonts w:eastAsia="Calibri"/>
              </w:rPr>
              <w:t>*Financijske korekcije koje se primjenjuju na osobe koje nisu obvezne primjenjivati Zakon o javnoj nabavi se utvrđuju i primjenjuju u skladu s pravilima i načelima Ugovora o funkcioniranju Europske unije (pročišćene verzije Ugovora o Europskoj uniji i Ugovora o funkcioniranju Europske unije, SL C 202, 7.6.2016</w:t>
            </w:r>
            <w:r w:rsidRPr="00C45EE6">
              <w:rPr>
                <w:rFonts w:eastAsia="Calibri"/>
                <w:vertAlign w:val="superscript"/>
              </w:rPr>
              <w:footnoteReference w:id="11"/>
            </w:r>
            <w:r w:rsidRPr="00C45EE6">
              <w:rPr>
                <w:rFonts w:eastAsia="Calibri"/>
              </w:rPr>
              <w:t>.)</w:t>
            </w:r>
          </w:p>
          <w:p w14:paraId="734BA480" w14:textId="77777777" w:rsidR="00C45EE6" w:rsidRPr="00C45EE6" w:rsidRDefault="00C45EE6" w:rsidP="00C45EE6">
            <w:pPr>
              <w:widowControl w:val="0"/>
              <w:spacing w:after="240" w:line="240" w:lineRule="auto"/>
              <w:rPr>
                <w:rFonts w:eastAsia="Calibri"/>
                <w:sz w:val="20"/>
                <w:szCs w:val="20"/>
              </w:rPr>
            </w:pPr>
          </w:p>
          <w:p w14:paraId="37F2B391" w14:textId="77777777" w:rsidR="00C45EE6" w:rsidRPr="00C45EE6" w:rsidRDefault="00C45EE6" w:rsidP="00C45EE6">
            <w:pPr>
              <w:widowControl w:val="0"/>
              <w:spacing w:after="240" w:line="240" w:lineRule="auto"/>
              <w:rPr>
                <w:rFonts w:eastAsia="Calibri"/>
                <w:sz w:val="20"/>
                <w:szCs w:val="20"/>
              </w:rPr>
            </w:pPr>
          </w:p>
        </w:tc>
      </w:tr>
      <w:tr w:rsidR="00C45EE6" w:rsidRPr="00C45EE6" w14:paraId="2244EF88" w14:textId="77777777" w:rsidTr="00C30045">
        <w:trPr>
          <w:trHeight w:val="692"/>
        </w:trPr>
        <w:tc>
          <w:tcPr>
            <w:tcW w:w="567" w:type="dxa"/>
            <w:tcBorders>
              <w:top w:val="single" w:sz="4" w:space="0" w:color="auto"/>
              <w:left w:val="single" w:sz="4" w:space="0" w:color="auto"/>
              <w:bottom w:val="single" w:sz="4" w:space="0" w:color="auto"/>
              <w:right w:val="single" w:sz="4" w:space="0" w:color="auto"/>
            </w:tcBorders>
          </w:tcPr>
          <w:p w14:paraId="41EDA229" w14:textId="77777777" w:rsidR="00C45EE6" w:rsidRPr="00C45EE6" w:rsidRDefault="00C45EE6" w:rsidP="00C45EE6">
            <w:pPr>
              <w:spacing w:after="240" w:line="240" w:lineRule="auto"/>
              <w:jc w:val="right"/>
              <w:rPr>
                <w:rFonts w:eastAsia="Calibri"/>
              </w:rPr>
            </w:pPr>
          </w:p>
        </w:tc>
        <w:tc>
          <w:tcPr>
            <w:tcW w:w="3823" w:type="dxa"/>
            <w:tcBorders>
              <w:top w:val="single" w:sz="4" w:space="0" w:color="auto"/>
              <w:left w:val="single" w:sz="4" w:space="0" w:color="auto"/>
              <w:bottom w:val="single" w:sz="4" w:space="0" w:color="auto"/>
              <w:right w:val="single" w:sz="4" w:space="0" w:color="auto"/>
            </w:tcBorders>
          </w:tcPr>
          <w:p w14:paraId="5472CA0C" w14:textId="77777777" w:rsidR="00C45EE6" w:rsidRPr="00C45EE6" w:rsidRDefault="00C45EE6" w:rsidP="00C45EE6">
            <w:pPr>
              <w:spacing w:after="240" w:line="240" w:lineRule="auto"/>
              <w:rPr>
                <w:rFonts w:eastAsia="Calibri"/>
                <w:b/>
                <w:sz w:val="20"/>
                <w:szCs w:val="20"/>
              </w:rPr>
            </w:pPr>
            <w:r w:rsidRPr="00C45EE6">
              <w:rPr>
                <w:rFonts w:eastAsia="Calibri"/>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52BE0F51" w14:textId="77777777" w:rsidR="00C45EE6" w:rsidRPr="00C45EE6" w:rsidRDefault="00C45EE6" w:rsidP="00C45EE6">
            <w:pPr>
              <w:spacing w:after="240" w:line="240" w:lineRule="auto"/>
              <w:rPr>
                <w:rFonts w:eastAsia="Calibri"/>
                <w:b/>
                <w:sz w:val="20"/>
                <w:szCs w:val="20"/>
              </w:rPr>
            </w:pPr>
            <w:r w:rsidRPr="00C45EE6">
              <w:rPr>
                <w:rFonts w:eastAsia="Calibri"/>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05E71E9" w14:textId="77777777" w:rsidR="00C45EE6" w:rsidRPr="00C45EE6" w:rsidRDefault="00C45EE6" w:rsidP="00C45EE6">
            <w:pPr>
              <w:widowControl w:val="0"/>
              <w:spacing w:after="240" w:line="240" w:lineRule="auto"/>
              <w:rPr>
                <w:rFonts w:eastAsia="Calibri"/>
                <w:b/>
                <w:sz w:val="20"/>
                <w:szCs w:val="20"/>
              </w:rPr>
            </w:pPr>
            <w:r w:rsidRPr="00C45EE6">
              <w:rPr>
                <w:rFonts w:eastAsia="Calibri"/>
                <w:b/>
                <w:sz w:val="20"/>
                <w:szCs w:val="20"/>
              </w:rPr>
              <w:t>Visina korekcije</w:t>
            </w:r>
          </w:p>
        </w:tc>
      </w:tr>
      <w:tr w:rsidR="00C45EE6" w:rsidRPr="00C45EE6" w14:paraId="12C06B1E" w14:textId="77777777" w:rsidTr="00C30045">
        <w:trPr>
          <w:trHeight w:val="2495"/>
        </w:trPr>
        <w:tc>
          <w:tcPr>
            <w:tcW w:w="567" w:type="dxa"/>
            <w:tcBorders>
              <w:top w:val="single" w:sz="4" w:space="0" w:color="auto"/>
              <w:left w:val="single" w:sz="4" w:space="0" w:color="auto"/>
              <w:bottom w:val="single" w:sz="4" w:space="0" w:color="auto"/>
              <w:right w:val="single" w:sz="4" w:space="0" w:color="auto"/>
            </w:tcBorders>
            <w:hideMark/>
          </w:tcPr>
          <w:p w14:paraId="49A5FFDC" w14:textId="77777777" w:rsidR="00C45EE6" w:rsidRPr="00C45EE6" w:rsidRDefault="00C45EE6" w:rsidP="00C45EE6">
            <w:pPr>
              <w:spacing w:after="240" w:line="240" w:lineRule="auto"/>
              <w:jc w:val="right"/>
              <w:rPr>
                <w:rFonts w:eastAsia="Calibri"/>
              </w:rPr>
            </w:pPr>
            <w:r w:rsidRPr="00C45EE6">
              <w:rPr>
                <w:rFonts w:eastAsia="Calibri"/>
              </w:rPr>
              <w:t>1.</w:t>
            </w:r>
          </w:p>
        </w:tc>
        <w:tc>
          <w:tcPr>
            <w:tcW w:w="3823" w:type="dxa"/>
            <w:tcBorders>
              <w:top w:val="single" w:sz="4" w:space="0" w:color="auto"/>
              <w:left w:val="single" w:sz="4" w:space="0" w:color="auto"/>
              <w:bottom w:val="single" w:sz="4" w:space="0" w:color="auto"/>
              <w:right w:val="single" w:sz="4" w:space="0" w:color="auto"/>
            </w:tcBorders>
          </w:tcPr>
          <w:p w14:paraId="00557165" w14:textId="77777777" w:rsidR="00C45EE6" w:rsidRPr="00C45EE6" w:rsidRDefault="00C45EE6" w:rsidP="00C45EE6">
            <w:pPr>
              <w:spacing w:after="240" w:line="240" w:lineRule="auto"/>
              <w:jc w:val="both"/>
              <w:rPr>
                <w:rFonts w:eastAsia="Calibri"/>
                <w:strike/>
                <w:sz w:val="20"/>
                <w:szCs w:val="20"/>
              </w:rPr>
            </w:pPr>
            <w:r w:rsidRPr="00C45EE6">
              <w:rPr>
                <w:rFonts w:eastAsia="Calibri"/>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68EBD454" w14:textId="77777777" w:rsidR="00C45EE6" w:rsidRPr="00C45EE6" w:rsidRDefault="00C45EE6" w:rsidP="00C45EE6">
            <w:pPr>
              <w:spacing w:after="240" w:line="240" w:lineRule="auto"/>
              <w:jc w:val="both"/>
              <w:rPr>
                <w:rFonts w:eastAsia="Calibri"/>
                <w:sz w:val="20"/>
                <w:szCs w:val="20"/>
                <w:highlight w:val="yellow"/>
                <w:u w:val="single"/>
              </w:rPr>
            </w:pPr>
            <w:r w:rsidRPr="00C45EE6">
              <w:rPr>
                <w:rFonts w:eastAsia="Calibri"/>
                <w:sz w:val="20"/>
                <w:szCs w:val="20"/>
              </w:rPr>
              <w:t xml:space="preserve">Poziv na dostavu ponuda nije objavljen  na web stranici </w:t>
            </w:r>
            <w:r w:rsidRPr="00C45EE6">
              <w:rPr>
                <w:rFonts w:eastAsia="Calibri"/>
              </w:rPr>
              <w:t xml:space="preserve"> </w:t>
            </w:r>
            <w:hyperlink r:id="rId11" w:history="1">
              <w:r w:rsidRPr="00C45EE6">
                <w:rPr>
                  <w:rFonts w:eastAsia="Calibri"/>
                  <w:color w:val="0563C1"/>
                  <w:sz w:val="20"/>
                  <w:szCs w:val="20"/>
                  <w:u w:val="single"/>
                </w:rPr>
                <w:t>www.planoporavka.gov.hr</w:t>
              </w:r>
            </w:hyperlink>
            <w:r w:rsidRPr="00C45EE6">
              <w:rPr>
                <w:rFonts w:eastAsia="Calibri"/>
                <w:sz w:val="20"/>
                <w:szCs w:val="20"/>
              </w:rPr>
              <w:t xml:space="preserve">. </w:t>
            </w:r>
          </w:p>
          <w:p w14:paraId="3A3D93E7" w14:textId="77777777" w:rsidR="00C45EE6" w:rsidRPr="00C45EE6" w:rsidRDefault="00C45EE6" w:rsidP="00C45EE6">
            <w:pPr>
              <w:spacing w:after="240" w:line="240" w:lineRule="auto"/>
              <w:jc w:val="both"/>
              <w:rPr>
                <w:rFonts w:eastAsia="Calibri"/>
                <w:sz w:val="20"/>
                <w:szCs w:val="20"/>
                <w:highlight w:val="yellow"/>
              </w:rPr>
            </w:pPr>
          </w:p>
          <w:p w14:paraId="675FD0AB"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Izostala je objava na web stranici  </w:t>
            </w:r>
            <w:hyperlink r:id="rId12" w:history="1">
              <w:r w:rsidRPr="00C45EE6">
                <w:rPr>
                  <w:rFonts w:eastAsia="Calibri"/>
                  <w:color w:val="0563C1"/>
                  <w:sz w:val="20"/>
                  <w:szCs w:val="20"/>
                  <w:u w:val="single"/>
                </w:rPr>
                <w:t>www.planoporavka.gov.hr</w:t>
              </w:r>
            </w:hyperlink>
            <w:r w:rsidRPr="00C45EE6">
              <w:rPr>
                <w:rFonts w:eastAsia="Calibri"/>
                <w:sz w:val="20"/>
                <w:szCs w:val="20"/>
              </w:rPr>
              <w:t xml:space="preserve"> kada je  postojala obveza, ali je zainteresirana strana (gospodarski subjekt) imala pristup informacijama vezanima uz postupak nabave te bila u mogućnosti iskazati interes za sudjelovanjem u postupku i dobivanju tog ugovora.</w:t>
            </w:r>
          </w:p>
          <w:p w14:paraId="61D52276" w14:textId="77777777" w:rsidR="00C45EE6" w:rsidRPr="00C45EE6" w:rsidRDefault="00C45EE6" w:rsidP="00C45EE6">
            <w:pPr>
              <w:widowControl w:val="0"/>
              <w:autoSpaceDE w:val="0"/>
              <w:autoSpaceDN w:val="0"/>
              <w:adjustRightInd w:val="0"/>
              <w:spacing w:after="0" w:line="256" w:lineRule="auto"/>
              <w:jc w:val="both"/>
              <w:rPr>
                <w:rFonts w:eastAsia="Calibri"/>
                <w:sz w:val="20"/>
                <w:szCs w:val="20"/>
              </w:rPr>
            </w:pPr>
            <w:r w:rsidRPr="00C45EE6">
              <w:rPr>
                <w:rFonts w:eastAsia="Calibri"/>
                <w:sz w:val="20"/>
                <w:szCs w:val="20"/>
              </w:rPr>
              <w:t>Osnovna pravila za objavljivanje su bila poštivana i to na način:</w:t>
            </w:r>
          </w:p>
          <w:p w14:paraId="4897E9C0"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06EF3F46"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nabave, vrsti nabave i </w:t>
            </w:r>
            <w:r w:rsidRPr="00C45EE6">
              <w:rPr>
                <w:rFonts w:eastAsia="Calibri"/>
                <w:sz w:val="20"/>
                <w:szCs w:val="20"/>
              </w:rPr>
              <w:lastRenderedPageBreak/>
              <w:t>poziv da se kontaktiraju nadležne osobe NOJN-a.</w:t>
            </w:r>
          </w:p>
          <w:p w14:paraId="235B0FB6" w14:textId="77777777" w:rsidR="00C45EE6" w:rsidRPr="00C45EE6" w:rsidRDefault="00C45EE6" w:rsidP="00C45EE6">
            <w:pPr>
              <w:spacing w:after="0" w:line="240" w:lineRule="auto"/>
              <w:jc w:val="both"/>
              <w:rPr>
                <w:rFonts w:eastAsia="Calibri"/>
                <w:sz w:val="20"/>
                <w:szCs w:val="20"/>
                <w:highlight w:val="yellow"/>
              </w:rPr>
            </w:pPr>
          </w:p>
          <w:p w14:paraId="77768431" w14:textId="77777777" w:rsidR="00C45EE6" w:rsidRPr="00C45EE6" w:rsidRDefault="00C45EE6" w:rsidP="00C45EE6">
            <w:pPr>
              <w:spacing w:after="0" w:line="240" w:lineRule="auto"/>
              <w:jc w:val="both"/>
              <w:rPr>
                <w:rFonts w:eastAsia="Calibri"/>
                <w:sz w:val="20"/>
                <w:szCs w:val="20"/>
                <w:highlight w:val="yellow"/>
              </w:rPr>
            </w:pPr>
          </w:p>
          <w:p w14:paraId="18BA4C28" w14:textId="77777777" w:rsidR="00C45EE6" w:rsidRPr="00C45EE6" w:rsidRDefault="00C45EE6" w:rsidP="00C45EE6">
            <w:pPr>
              <w:spacing w:after="0" w:line="240" w:lineRule="auto"/>
              <w:jc w:val="both"/>
              <w:rPr>
                <w:rFonts w:eastAsia="Calibr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3E0853DA" w14:textId="77777777" w:rsidR="00C45EE6" w:rsidRPr="00C45EE6" w:rsidRDefault="00C45EE6" w:rsidP="00C45EE6">
            <w:pPr>
              <w:widowControl w:val="0"/>
              <w:spacing w:after="240" w:line="240" w:lineRule="auto"/>
              <w:jc w:val="both"/>
              <w:rPr>
                <w:rFonts w:eastAsia="Calibri"/>
                <w:sz w:val="20"/>
                <w:szCs w:val="20"/>
              </w:rPr>
            </w:pPr>
            <w:r w:rsidRPr="00C45EE6">
              <w:rPr>
                <w:rFonts w:eastAsia="Calibri"/>
                <w:sz w:val="20"/>
                <w:szCs w:val="20"/>
              </w:rPr>
              <w:lastRenderedPageBreak/>
              <w:t xml:space="preserve">100% korekcije od *ugovorenog iznosa </w:t>
            </w:r>
          </w:p>
          <w:p w14:paraId="6085AA4F" w14:textId="77777777" w:rsidR="00C45EE6" w:rsidRPr="00C45EE6" w:rsidRDefault="00C45EE6" w:rsidP="00C45EE6">
            <w:pPr>
              <w:widowControl w:val="0"/>
              <w:spacing w:after="240" w:line="240" w:lineRule="auto"/>
              <w:jc w:val="both"/>
              <w:rPr>
                <w:rFonts w:eastAsia="Calibri"/>
                <w:sz w:val="20"/>
                <w:szCs w:val="20"/>
              </w:rPr>
            </w:pPr>
          </w:p>
          <w:p w14:paraId="02E389EB" w14:textId="77777777" w:rsidR="00C45EE6" w:rsidRPr="00C45EE6" w:rsidRDefault="00C45EE6" w:rsidP="00C45EE6">
            <w:pPr>
              <w:widowControl w:val="0"/>
              <w:spacing w:after="0" w:line="240" w:lineRule="auto"/>
              <w:jc w:val="both"/>
              <w:rPr>
                <w:rFonts w:eastAsia="Calibri"/>
                <w:sz w:val="20"/>
                <w:szCs w:val="20"/>
              </w:rPr>
            </w:pPr>
          </w:p>
          <w:p w14:paraId="6E2EC174" w14:textId="77777777" w:rsidR="00C45EE6" w:rsidRPr="00C45EE6" w:rsidRDefault="00C45EE6" w:rsidP="00C45EE6">
            <w:pPr>
              <w:widowControl w:val="0"/>
              <w:spacing w:after="0" w:line="240" w:lineRule="auto"/>
              <w:jc w:val="both"/>
              <w:rPr>
                <w:rFonts w:eastAsia="Calibri"/>
                <w:strike/>
                <w:sz w:val="20"/>
                <w:szCs w:val="20"/>
              </w:rPr>
            </w:pPr>
            <w:r w:rsidRPr="00C45EE6">
              <w:rPr>
                <w:rFonts w:eastAsia="Calibri"/>
                <w:sz w:val="20"/>
                <w:szCs w:val="20"/>
              </w:rPr>
              <w:t xml:space="preserve">25% od ugovorenog iznosa </w:t>
            </w:r>
          </w:p>
        </w:tc>
      </w:tr>
      <w:tr w:rsidR="00C45EE6" w:rsidRPr="00C45EE6" w14:paraId="32CB1C65" w14:textId="77777777" w:rsidTr="00C30045">
        <w:trPr>
          <w:trHeight w:val="841"/>
        </w:trPr>
        <w:tc>
          <w:tcPr>
            <w:tcW w:w="567" w:type="dxa"/>
            <w:tcBorders>
              <w:top w:val="single" w:sz="4" w:space="0" w:color="auto"/>
              <w:left w:val="single" w:sz="4" w:space="0" w:color="auto"/>
              <w:bottom w:val="single" w:sz="4" w:space="0" w:color="auto"/>
              <w:right w:val="single" w:sz="4" w:space="0" w:color="auto"/>
            </w:tcBorders>
            <w:hideMark/>
          </w:tcPr>
          <w:p w14:paraId="7ADA1E8F" w14:textId="77777777" w:rsidR="00C45EE6" w:rsidRPr="00C45EE6" w:rsidRDefault="00C45EE6" w:rsidP="00C45EE6">
            <w:pPr>
              <w:spacing w:after="240" w:line="240" w:lineRule="auto"/>
              <w:jc w:val="right"/>
              <w:rPr>
                <w:rFonts w:eastAsia="Calibri"/>
              </w:rPr>
            </w:pPr>
            <w:r w:rsidRPr="00C45EE6">
              <w:rPr>
                <w:rFonts w:eastAsia="Calibri"/>
              </w:rPr>
              <w:t>2.</w:t>
            </w:r>
          </w:p>
        </w:tc>
        <w:tc>
          <w:tcPr>
            <w:tcW w:w="3823" w:type="dxa"/>
            <w:tcBorders>
              <w:top w:val="single" w:sz="4" w:space="0" w:color="auto"/>
              <w:left w:val="single" w:sz="4" w:space="0" w:color="auto"/>
              <w:bottom w:val="single" w:sz="4" w:space="0" w:color="auto"/>
              <w:right w:val="single" w:sz="4" w:space="0" w:color="auto"/>
            </w:tcBorders>
          </w:tcPr>
          <w:p w14:paraId="1CD34ACA"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Umjetna podjela ugovora o radovima/uslugama/nabavi robe s obzirom na procijenjenu vrijednost nabave čime se izbjegava objava poziva na dostavu ponuda u skladu s primjenjivim pravilima te se na taj način konkurentniji postupak zamjenjuje s manje konkurentnim postupkom nabave</w:t>
            </w:r>
          </w:p>
          <w:p w14:paraId="70E8DE27" w14:textId="77777777" w:rsidR="00C45EE6" w:rsidRPr="00C45EE6" w:rsidRDefault="00C45EE6" w:rsidP="00C45EE6">
            <w:pPr>
              <w:spacing w:after="240" w:line="240" w:lineRule="auto"/>
              <w:jc w:val="both"/>
              <w:rPr>
                <w:rFonts w:eastAsia="Calibri"/>
                <w:sz w:val="20"/>
                <w:szCs w:val="20"/>
              </w:rPr>
            </w:pPr>
          </w:p>
          <w:p w14:paraId="309F75E8" w14:textId="77777777" w:rsidR="00C45EE6" w:rsidRPr="00C45EE6" w:rsidRDefault="00C45EE6" w:rsidP="00C45EE6">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07B02F2" w14:textId="77777777" w:rsidR="00C45EE6" w:rsidRPr="00C45EE6" w:rsidRDefault="00C45EE6" w:rsidP="00C45EE6">
            <w:pPr>
              <w:spacing w:after="240" w:line="240" w:lineRule="auto"/>
              <w:jc w:val="both"/>
              <w:rPr>
                <w:rFonts w:eastAsia="Calibri"/>
                <w:u w:val="single"/>
              </w:rPr>
            </w:pPr>
            <w:r w:rsidRPr="00C45EE6">
              <w:rPr>
                <w:rFonts w:eastAsia="Calibri"/>
                <w:sz w:val="20"/>
                <w:szCs w:val="20"/>
              </w:rPr>
              <w:t>Projekt u vezi s radovima ili predložena nabava određene količine robe i/ili usluga dodatno je podijeljena tako da je vrijednost nabave umjetno podijeljena, s posljedicom  primjene manje konkurentnog postupka nabave s obzirom na navedene pragove za primjenu određenog postupka nabave.</w:t>
            </w:r>
          </w:p>
          <w:p w14:paraId="3A2CEA90" w14:textId="77777777" w:rsidR="00C45EE6" w:rsidRPr="00C45EE6" w:rsidRDefault="00C45EE6" w:rsidP="00C45EE6">
            <w:pPr>
              <w:spacing w:after="0" w:line="240" w:lineRule="auto"/>
              <w:jc w:val="both"/>
              <w:rPr>
                <w:rFonts w:eastAsia="Calibri"/>
                <w:sz w:val="20"/>
                <w:szCs w:val="20"/>
              </w:rPr>
            </w:pPr>
          </w:p>
          <w:p w14:paraId="682F5879"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Izostala je objava na web stranici  </w:t>
            </w:r>
            <w:hyperlink r:id="rId13" w:history="1">
              <w:r w:rsidRPr="00C45EE6">
                <w:rPr>
                  <w:rFonts w:eastAsia="Calibri"/>
                  <w:color w:val="0563C1"/>
                  <w:sz w:val="20"/>
                  <w:szCs w:val="20"/>
                  <w:u w:val="single"/>
                </w:rPr>
                <w:t>www.planoporavka.gov.hr</w:t>
              </w:r>
            </w:hyperlink>
            <w:r w:rsidRPr="00C45EE6">
              <w:rPr>
                <w:rFonts w:eastAsia="Calibri"/>
                <w:color w:val="0563C1"/>
                <w:sz w:val="20"/>
                <w:szCs w:val="20"/>
                <w:u w:val="single"/>
              </w:rPr>
              <w:t xml:space="preserve"> </w:t>
            </w:r>
            <w:r w:rsidRPr="00C45EE6">
              <w:rPr>
                <w:rFonts w:eastAsia="Calibri"/>
                <w:sz w:val="20"/>
                <w:szCs w:val="20"/>
              </w:rPr>
              <w:t>kada je za to postojala obveza, ali je zainteresirana strana (gospodarski subjekt) imala pristup informacijama vezanima uz postupak nabave te bila u mogućnosti iskazati interes za sudjelovanjem u postupku i dobivanju tog ugovora.</w:t>
            </w:r>
          </w:p>
          <w:p w14:paraId="7B6202B4" w14:textId="77777777" w:rsidR="00C45EE6" w:rsidRPr="00C45EE6" w:rsidRDefault="00C45EE6" w:rsidP="00C45EE6">
            <w:pPr>
              <w:widowControl w:val="0"/>
              <w:autoSpaceDE w:val="0"/>
              <w:autoSpaceDN w:val="0"/>
              <w:adjustRightInd w:val="0"/>
              <w:spacing w:after="0" w:line="256" w:lineRule="auto"/>
              <w:jc w:val="both"/>
              <w:rPr>
                <w:rFonts w:eastAsia="Calibri"/>
                <w:sz w:val="20"/>
                <w:szCs w:val="20"/>
              </w:rPr>
            </w:pPr>
            <w:r w:rsidRPr="00C45EE6">
              <w:rPr>
                <w:rFonts w:eastAsia="Calibri"/>
                <w:sz w:val="20"/>
                <w:szCs w:val="20"/>
              </w:rPr>
              <w:t>Osnovna pravila za objavljivanje su bila poštivana i to na način:</w:t>
            </w:r>
          </w:p>
          <w:p w14:paraId="7A0EB10B"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0AAE45D"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570796E1" w14:textId="77777777" w:rsidR="00C45EE6" w:rsidRPr="00C45EE6" w:rsidRDefault="00C45EE6" w:rsidP="00C45EE6">
            <w:pPr>
              <w:spacing w:after="0" w:line="240" w:lineRule="auto"/>
              <w:jc w:val="both"/>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5934206F"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lastRenderedPageBreak/>
              <w:t>100% korekcije (agregirano)</w:t>
            </w:r>
            <w:r w:rsidRPr="00C45EE6">
              <w:rPr>
                <w:rFonts w:eastAsia="Calibri"/>
                <w:sz w:val="20"/>
                <w:szCs w:val="20"/>
                <w:vertAlign w:val="superscript"/>
              </w:rPr>
              <w:footnoteReference w:id="12"/>
            </w:r>
          </w:p>
          <w:p w14:paraId="3FCD3557" w14:textId="77777777" w:rsidR="00C45EE6" w:rsidRPr="00C45EE6" w:rsidRDefault="00C45EE6" w:rsidP="00C45EE6">
            <w:pPr>
              <w:spacing w:after="240" w:line="240" w:lineRule="auto"/>
              <w:jc w:val="both"/>
              <w:rPr>
                <w:rFonts w:eastAsia="Calibri"/>
                <w:sz w:val="20"/>
                <w:szCs w:val="20"/>
              </w:rPr>
            </w:pPr>
          </w:p>
          <w:p w14:paraId="3E841D7A" w14:textId="77777777" w:rsidR="00C45EE6" w:rsidRPr="00C45EE6" w:rsidRDefault="00C45EE6" w:rsidP="00C45EE6">
            <w:pPr>
              <w:spacing w:after="240" w:line="240" w:lineRule="auto"/>
              <w:jc w:val="both"/>
              <w:rPr>
                <w:rFonts w:eastAsia="Calibri"/>
                <w:sz w:val="20"/>
                <w:szCs w:val="20"/>
              </w:rPr>
            </w:pPr>
          </w:p>
          <w:p w14:paraId="6D6BA71C" w14:textId="77777777" w:rsidR="00C45EE6" w:rsidRPr="00C45EE6" w:rsidRDefault="00C45EE6" w:rsidP="00C45EE6">
            <w:pPr>
              <w:spacing w:after="0" w:line="240" w:lineRule="auto"/>
              <w:jc w:val="both"/>
              <w:rPr>
                <w:rFonts w:eastAsia="Calibri"/>
                <w:sz w:val="20"/>
                <w:szCs w:val="20"/>
              </w:rPr>
            </w:pPr>
          </w:p>
          <w:p w14:paraId="55F6DC8D" w14:textId="77777777" w:rsidR="00C45EE6" w:rsidRPr="00C45EE6" w:rsidRDefault="00C45EE6" w:rsidP="00C45EE6">
            <w:pPr>
              <w:spacing w:after="0" w:line="240" w:lineRule="auto"/>
              <w:jc w:val="both"/>
              <w:rPr>
                <w:rFonts w:eastAsia="Calibri"/>
                <w:sz w:val="20"/>
                <w:szCs w:val="20"/>
              </w:rPr>
            </w:pPr>
          </w:p>
          <w:p w14:paraId="7A77DEF7" w14:textId="77777777" w:rsidR="00C45EE6" w:rsidRPr="00C45EE6" w:rsidRDefault="00C45EE6" w:rsidP="00C45EE6">
            <w:pPr>
              <w:spacing w:after="0" w:line="240" w:lineRule="auto"/>
              <w:jc w:val="both"/>
              <w:rPr>
                <w:rFonts w:eastAsia="Calibri"/>
                <w:sz w:val="20"/>
                <w:szCs w:val="20"/>
              </w:rPr>
            </w:pPr>
          </w:p>
          <w:p w14:paraId="63B1B073"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25% (agregirano) od ugovorenog iznosa </w:t>
            </w:r>
          </w:p>
        </w:tc>
      </w:tr>
      <w:tr w:rsidR="00C45EE6" w:rsidRPr="00C45EE6" w14:paraId="1B7FA4C5" w14:textId="77777777" w:rsidTr="00C30045">
        <w:trPr>
          <w:trHeight w:val="1831"/>
        </w:trPr>
        <w:tc>
          <w:tcPr>
            <w:tcW w:w="567" w:type="dxa"/>
            <w:tcBorders>
              <w:top w:val="single" w:sz="4" w:space="0" w:color="auto"/>
              <w:left w:val="single" w:sz="4" w:space="0" w:color="auto"/>
              <w:bottom w:val="single" w:sz="4" w:space="0" w:color="auto"/>
              <w:right w:val="single" w:sz="4" w:space="0" w:color="auto"/>
            </w:tcBorders>
            <w:hideMark/>
          </w:tcPr>
          <w:p w14:paraId="350D28C2" w14:textId="77777777" w:rsidR="00C45EE6" w:rsidRPr="00C45EE6" w:rsidRDefault="00C45EE6" w:rsidP="00C45EE6">
            <w:pPr>
              <w:spacing w:after="240" w:line="240" w:lineRule="auto"/>
              <w:jc w:val="right"/>
              <w:rPr>
                <w:rFonts w:eastAsia="Calibri"/>
              </w:rPr>
            </w:pPr>
            <w:r w:rsidRPr="00C45EE6">
              <w:rPr>
                <w:rFonts w:eastAsia="Calibri"/>
              </w:rPr>
              <w:t>3.</w:t>
            </w:r>
          </w:p>
        </w:tc>
        <w:tc>
          <w:tcPr>
            <w:tcW w:w="3823" w:type="dxa"/>
            <w:tcBorders>
              <w:top w:val="single" w:sz="4" w:space="0" w:color="auto"/>
              <w:left w:val="single" w:sz="4" w:space="0" w:color="auto"/>
              <w:bottom w:val="single" w:sz="4" w:space="0" w:color="auto"/>
              <w:right w:val="single" w:sz="4" w:space="0" w:color="auto"/>
            </w:tcBorders>
            <w:hideMark/>
          </w:tcPr>
          <w:p w14:paraId="54E15AB0"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64610553"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Izostanak primjene Zakona o javnoj nabavi, sukladno članku 39. Zakona o javnoj nabavi (ZJN 2016)</w:t>
            </w:r>
          </w:p>
          <w:p w14:paraId="791636DD"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6443A3D6"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a) Poziv na nadmetanje je objavljen na nacionalnoj razini (sukladno nacionalnom zakonodavstvu) ili</w:t>
            </w:r>
          </w:p>
          <w:p w14:paraId="11F123C8"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-osnovna pravila za objavljivanje poziva na nadmetanje su bila poštivana i to na način:</w:t>
            </w:r>
          </w:p>
          <w:p w14:paraId="6AF67DBB"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D42531E" w14:textId="77777777" w:rsidR="00C45EE6" w:rsidRPr="00C45EE6" w:rsidRDefault="00C45EE6" w:rsidP="00C45EE6">
            <w:pPr>
              <w:widowControl w:val="0"/>
              <w:autoSpaceDE w:val="0"/>
              <w:autoSpaceDN w:val="0"/>
              <w:adjustRightInd w:val="0"/>
              <w:spacing w:after="0" w:line="256" w:lineRule="auto"/>
              <w:contextualSpacing/>
              <w:jc w:val="both"/>
              <w:rPr>
                <w:rFonts w:eastAsia="Calibri"/>
                <w:sz w:val="20"/>
                <w:szCs w:val="20"/>
              </w:rPr>
            </w:pPr>
            <w:r w:rsidRPr="00C45EE6">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447B53D4"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100 % korekcije</w:t>
            </w:r>
          </w:p>
          <w:p w14:paraId="4A4BD31E" w14:textId="77777777" w:rsidR="00C45EE6" w:rsidRPr="00C45EE6" w:rsidRDefault="00C45EE6" w:rsidP="00C45EE6">
            <w:pPr>
              <w:spacing w:after="0" w:line="240" w:lineRule="auto"/>
              <w:jc w:val="both"/>
              <w:rPr>
                <w:rFonts w:eastAsia="Calibri"/>
                <w:sz w:val="20"/>
                <w:szCs w:val="20"/>
              </w:rPr>
            </w:pPr>
          </w:p>
          <w:p w14:paraId="59EEFD57" w14:textId="77777777" w:rsidR="00C45EE6" w:rsidRPr="00C45EE6" w:rsidRDefault="00C45EE6" w:rsidP="00C45EE6">
            <w:pPr>
              <w:spacing w:after="0" w:line="240" w:lineRule="auto"/>
              <w:jc w:val="both"/>
              <w:rPr>
                <w:rFonts w:eastAsia="Calibri"/>
                <w:sz w:val="20"/>
                <w:szCs w:val="20"/>
              </w:rPr>
            </w:pPr>
          </w:p>
          <w:p w14:paraId="4079CB79"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25% (agregirano) od ugovorenog iznosa </w:t>
            </w:r>
          </w:p>
        </w:tc>
      </w:tr>
      <w:tr w:rsidR="00C45EE6" w:rsidRPr="00C45EE6" w14:paraId="367924E6"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0AE0DBCE" w14:textId="77777777" w:rsidR="00C45EE6" w:rsidRPr="00C45EE6" w:rsidRDefault="00C45EE6" w:rsidP="00C45EE6">
            <w:pPr>
              <w:spacing w:after="240" w:line="240" w:lineRule="auto"/>
              <w:jc w:val="right"/>
              <w:rPr>
                <w:rFonts w:eastAsia="Calibri"/>
              </w:rPr>
            </w:pPr>
            <w:r w:rsidRPr="00C45EE6">
              <w:rPr>
                <w:rFonts w:eastAsia="Calibri"/>
              </w:rPr>
              <w:t>4.</w:t>
            </w:r>
          </w:p>
        </w:tc>
        <w:tc>
          <w:tcPr>
            <w:tcW w:w="3823" w:type="dxa"/>
            <w:tcBorders>
              <w:top w:val="single" w:sz="4" w:space="0" w:color="auto"/>
              <w:left w:val="single" w:sz="4" w:space="0" w:color="auto"/>
              <w:bottom w:val="single" w:sz="4" w:space="0" w:color="auto"/>
              <w:right w:val="single" w:sz="4" w:space="0" w:color="auto"/>
            </w:tcBorders>
          </w:tcPr>
          <w:p w14:paraId="6F5D3730"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61B25F8"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3A8C8CE9"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25 % ako je smanjenje rokova &gt;= 50 %</w:t>
            </w:r>
          </w:p>
          <w:p w14:paraId="3D069D1D"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10 % ako je smanjenje rokova &gt;= 30 % ali ne prelazi 50 %</w:t>
            </w:r>
          </w:p>
          <w:p w14:paraId="41C62C8A"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Ako je smanjenje  rokova &gt;30 % ispravak se može umanjiti na 5 % od ugovorenog iznosa, odnosno 2 % u </w:t>
            </w:r>
            <w:r w:rsidRPr="00C45EE6">
              <w:rPr>
                <w:rFonts w:eastAsia="Calibri"/>
                <w:sz w:val="20"/>
                <w:szCs w:val="20"/>
              </w:rPr>
              <w:lastRenderedPageBreak/>
              <w:t>iznimnim i opravdanim slučajevima &lt; 30%</w:t>
            </w:r>
          </w:p>
          <w:p w14:paraId="6AA77D27" w14:textId="77777777" w:rsidR="00C45EE6" w:rsidRPr="00C45EE6" w:rsidRDefault="00C45EE6" w:rsidP="00C45EE6">
            <w:pPr>
              <w:spacing w:after="240" w:line="240" w:lineRule="auto"/>
              <w:jc w:val="both"/>
              <w:rPr>
                <w:rFonts w:eastAsia="Calibri"/>
                <w:sz w:val="20"/>
                <w:szCs w:val="20"/>
              </w:rPr>
            </w:pPr>
          </w:p>
        </w:tc>
      </w:tr>
      <w:tr w:rsidR="00C45EE6" w:rsidRPr="00C45EE6" w14:paraId="7D88895C" w14:textId="77777777" w:rsidTr="00C30045">
        <w:trPr>
          <w:trHeight w:val="3729"/>
        </w:trPr>
        <w:tc>
          <w:tcPr>
            <w:tcW w:w="567" w:type="dxa"/>
            <w:tcBorders>
              <w:top w:val="single" w:sz="4" w:space="0" w:color="auto"/>
              <w:left w:val="single" w:sz="4" w:space="0" w:color="auto"/>
              <w:bottom w:val="single" w:sz="4" w:space="0" w:color="auto"/>
              <w:right w:val="single" w:sz="4" w:space="0" w:color="auto"/>
            </w:tcBorders>
          </w:tcPr>
          <w:p w14:paraId="60895C53" w14:textId="77777777" w:rsidR="00C45EE6" w:rsidRPr="00C45EE6" w:rsidRDefault="00C45EE6" w:rsidP="00C45EE6">
            <w:pPr>
              <w:spacing w:after="240" w:line="240" w:lineRule="auto"/>
              <w:jc w:val="right"/>
              <w:rPr>
                <w:rFonts w:eastAsia="Calibri"/>
              </w:rPr>
            </w:pPr>
            <w:r w:rsidRPr="00C45EE6">
              <w:rPr>
                <w:rFonts w:eastAsia="Calibri"/>
              </w:rPr>
              <w:lastRenderedPageBreak/>
              <w:t>5.</w:t>
            </w:r>
          </w:p>
        </w:tc>
        <w:tc>
          <w:tcPr>
            <w:tcW w:w="3823" w:type="dxa"/>
            <w:tcBorders>
              <w:top w:val="single" w:sz="4" w:space="0" w:color="auto"/>
              <w:left w:val="single" w:sz="4" w:space="0" w:color="auto"/>
              <w:bottom w:val="single" w:sz="4" w:space="0" w:color="auto"/>
              <w:right w:val="single" w:sz="4" w:space="0" w:color="auto"/>
            </w:tcBorders>
          </w:tcPr>
          <w:p w14:paraId="10A7D504"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Slučajevi u kojima su potencijalni ponuditelji bili odvraćeni od nadmetanja zbog diskriminirajućih kriterija u pozivu na dostavu ponuda.</w:t>
            </w:r>
          </w:p>
          <w:p w14:paraId="11A3AD68" w14:textId="77777777" w:rsidR="00C45EE6" w:rsidRPr="00C45EE6" w:rsidRDefault="00C45EE6" w:rsidP="00C45EE6">
            <w:pPr>
              <w:widowControl w:val="0"/>
              <w:autoSpaceDE w:val="0"/>
              <w:autoSpaceDN w:val="0"/>
              <w:adjustRightInd w:val="0"/>
              <w:spacing w:after="0" w:line="240" w:lineRule="auto"/>
              <w:ind w:left="396"/>
              <w:jc w:val="both"/>
              <w:rPr>
                <w:rFonts w:eastAsia="Calibri"/>
                <w:sz w:val="20"/>
                <w:szCs w:val="20"/>
              </w:rPr>
            </w:pPr>
          </w:p>
          <w:p w14:paraId="4F40360A" w14:textId="77777777" w:rsidR="00C45EE6" w:rsidRPr="00C45EE6" w:rsidRDefault="00C45EE6" w:rsidP="00C45EE6">
            <w:pPr>
              <w:widowControl w:val="0"/>
              <w:autoSpaceDE w:val="0"/>
              <w:autoSpaceDN w:val="0"/>
              <w:adjustRightInd w:val="0"/>
              <w:spacing w:after="0" w:line="240" w:lineRule="auto"/>
              <w:jc w:val="both"/>
              <w:rPr>
                <w:rFonts w:eastAsia="Calibri"/>
                <w:sz w:val="20"/>
                <w:szCs w:val="20"/>
              </w:rPr>
            </w:pPr>
          </w:p>
          <w:p w14:paraId="6D65ED81" w14:textId="77777777" w:rsidR="00C45EE6" w:rsidRPr="00C45EE6" w:rsidRDefault="00C45EE6" w:rsidP="00C45EE6">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A555FD3"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Sukladno Pravilima za NOJN radi se o povredi načela. </w:t>
            </w:r>
          </w:p>
          <w:p w14:paraId="384A2C7F"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Npr.:</w:t>
            </w:r>
          </w:p>
          <w:p w14:paraId="1099CDF2" w14:textId="77777777" w:rsidR="00C45EE6" w:rsidRPr="00C45EE6" w:rsidRDefault="00C45EE6" w:rsidP="00C45EE6">
            <w:pPr>
              <w:numPr>
                <w:ilvl w:val="0"/>
                <w:numId w:val="1"/>
              </w:numPr>
              <w:autoSpaceDE w:val="0"/>
              <w:autoSpaceDN w:val="0"/>
              <w:adjustRightInd w:val="0"/>
              <w:spacing w:after="0" w:line="240" w:lineRule="auto"/>
              <w:ind w:left="396"/>
              <w:jc w:val="both"/>
              <w:rPr>
                <w:rFonts w:eastAsia="Calibri"/>
                <w:sz w:val="20"/>
                <w:szCs w:val="20"/>
              </w:rPr>
            </w:pPr>
            <w:r w:rsidRPr="00C45EE6">
              <w:rPr>
                <w:rFonts w:eastAsia="Calibri"/>
                <w:sz w:val="20"/>
                <w:szCs w:val="20"/>
              </w:rPr>
              <w:t>kriteriji za odabir</w:t>
            </w:r>
            <w:r w:rsidRPr="00C45EE6">
              <w:rPr>
                <w:rFonts w:eastAsia="Calibri"/>
                <w:sz w:val="20"/>
                <w:szCs w:val="20"/>
                <w:vertAlign w:val="superscript"/>
              </w:rPr>
              <w:footnoteReference w:id="13"/>
            </w:r>
            <w:r w:rsidRPr="00C45EE6">
              <w:rPr>
                <w:rFonts w:eastAsia="Calibri"/>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777E6D2A" w14:textId="77777777" w:rsidR="00C45EE6" w:rsidRPr="00C45EE6" w:rsidRDefault="00C45EE6" w:rsidP="00C45EE6">
            <w:pPr>
              <w:spacing w:after="0" w:line="240" w:lineRule="auto"/>
              <w:ind w:left="396"/>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82EE390"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25% od ugovorenog iznosa</w:t>
            </w:r>
          </w:p>
          <w:p w14:paraId="49DCD62A"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Korekcija se može umanjiti na 10% ili 5% ukoliko je osigurana barem minimalna razina tržišnog natjecanja te ukoliko se uvjet ne odnosi na GS već na stručnjaka ili na dio ugovora koji ne predstavlja glavni predmet nabave</w:t>
            </w:r>
          </w:p>
          <w:p w14:paraId="3810F4B5" w14:textId="77777777" w:rsidR="00C45EE6" w:rsidRPr="00C45EE6" w:rsidRDefault="00C45EE6" w:rsidP="00C45EE6">
            <w:pPr>
              <w:spacing w:after="240" w:line="240" w:lineRule="auto"/>
              <w:jc w:val="both"/>
              <w:rPr>
                <w:rFonts w:eastAsia="Calibri"/>
                <w:sz w:val="20"/>
                <w:szCs w:val="20"/>
              </w:rPr>
            </w:pPr>
          </w:p>
        </w:tc>
      </w:tr>
      <w:tr w:rsidR="00C45EE6" w:rsidRPr="00C45EE6" w14:paraId="4B47EB14"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7A0A84CE" w14:textId="77777777" w:rsidR="00C45EE6" w:rsidRPr="00C45EE6" w:rsidRDefault="00C45EE6" w:rsidP="00C45EE6">
            <w:pPr>
              <w:spacing w:after="240" w:line="240" w:lineRule="auto"/>
              <w:jc w:val="right"/>
              <w:rPr>
                <w:rFonts w:eastAsia="Calibri"/>
              </w:rPr>
            </w:pPr>
            <w:r w:rsidRPr="00C45EE6">
              <w:rPr>
                <w:rFonts w:eastAsia="Calibri"/>
              </w:rPr>
              <w:t>6.</w:t>
            </w:r>
          </w:p>
        </w:tc>
        <w:tc>
          <w:tcPr>
            <w:tcW w:w="3823" w:type="dxa"/>
            <w:tcBorders>
              <w:top w:val="single" w:sz="4" w:space="0" w:color="auto"/>
              <w:left w:val="single" w:sz="4" w:space="0" w:color="auto"/>
              <w:bottom w:val="single" w:sz="4" w:space="0" w:color="auto"/>
              <w:right w:val="single" w:sz="4" w:space="0" w:color="auto"/>
            </w:tcBorders>
          </w:tcPr>
          <w:p w14:paraId="0095D2BE"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Uvjeti i zahtjevi koje moraju ispunjavati potencijalni ponuditelji nisu diskriminirajući, ali nisu povezani s predmetom ugovora i/ili nisu razmjerni predmetu ugovora.</w:t>
            </w:r>
          </w:p>
          <w:p w14:paraId="0EC278E6" w14:textId="77777777" w:rsidR="00C45EE6" w:rsidRPr="00C45EE6" w:rsidRDefault="00C45EE6" w:rsidP="00C45EE6">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5A4DA09"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Sukladno Pravilima za NOJN. 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304D5F61"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25 % od ugovorenog iznosa 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2350CEC7"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10% ili 5% od ugovorenog iznosa ako je unatoč odvraćajućem učinku ipak osigurana minimalna razina tržišnog natjecanja, npr. veći broj ponuda. Iznimno moguće je </w:t>
            </w:r>
            <w:r w:rsidRPr="00C45EE6">
              <w:rPr>
                <w:rFonts w:eastAsia="Calibri"/>
                <w:sz w:val="20"/>
                <w:szCs w:val="20"/>
              </w:rPr>
              <w:lastRenderedPageBreak/>
              <w:t>odrediti i manju korekciju primjenjujući načelo razmjernosti (npr ukoliko se uvjet ne odnosi na GS već na stručnjaka, ukoliko se radi o dijelu ugovora koji je sporedne prirode_)</w:t>
            </w:r>
          </w:p>
          <w:p w14:paraId="6E196728" w14:textId="77777777" w:rsidR="00C45EE6" w:rsidRPr="00C45EE6" w:rsidRDefault="00C45EE6" w:rsidP="00C45EE6">
            <w:pPr>
              <w:spacing w:after="240" w:line="240" w:lineRule="auto"/>
              <w:jc w:val="both"/>
              <w:rPr>
                <w:rFonts w:eastAsia="Calibri"/>
                <w:sz w:val="20"/>
                <w:szCs w:val="20"/>
              </w:rPr>
            </w:pPr>
          </w:p>
          <w:p w14:paraId="5F975294" w14:textId="77777777" w:rsidR="00C45EE6" w:rsidRPr="00C45EE6" w:rsidRDefault="00C45EE6" w:rsidP="00C45EE6">
            <w:pPr>
              <w:spacing w:after="240" w:line="240" w:lineRule="auto"/>
              <w:jc w:val="both"/>
              <w:rPr>
                <w:rFonts w:eastAsia="Calibri"/>
                <w:sz w:val="20"/>
                <w:szCs w:val="20"/>
              </w:rPr>
            </w:pPr>
          </w:p>
        </w:tc>
      </w:tr>
      <w:tr w:rsidR="00C45EE6" w:rsidRPr="00C45EE6" w14:paraId="3118754D"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21124D03" w14:textId="77777777" w:rsidR="00C45EE6" w:rsidRPr="00C45EE6" w:rsidRDefault="00C45EE6" w:rsidP="00C45EE6">
            <w:pPr>
              <w:spacing w:after="240" w:line="240" w:lineRule="auto"/>
              <w:jc w:val="right"/>
              <w:rPr>
                <w:rFonts w:eastAsia="Calibri"/>
                <w:sz w:val="20"/>
                <w:szCs w:val="20"/>
              </w:rPr>
            </w:pPr>
            <w:r w:rsidRPr="00C45EE6">
              <w:rPr>
                <w:rFonts w:eastAsia="Calibri"/>
                <w:sz w:val="20"/>
                <w:szCs w:val="20"/>
              </w:rPr>
              <w:lastRenderedPageBreak/>
              <w:t>7.</w:t>
            </w:r>
          </w:p>
        </w:tc>
        <w:tc>
          <w:tcPr>
            <w:tcW w:w="3823" w:type="dxa"/>
            <w:tcBorders>
              <w:top w:val="single" w:sz="4" w:space="0" w:color="auto"/>
              <w:left w:val="single" w:sz="4" w:space="0" w:color="auto"/>
              <w:bottom w:val="single" w:sz="4" w:space="0" w:color="auto"/>
              <w:right w:val="single" w:sz="4" w:space="0" w:color="auto"/>
            </w:tcBorders>
          </w:tcPr>
          <w:p w14:paraId="56213166"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5270F091"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Određivanje tehničkih standarda koji su specifični i tako da se njima ne osigurava jednak pristup za ponuditelje ili imaju učinak stvaranja neopravdanih prepreka otvaranju nabave za tržišno natjecanje.</w:t>
            </w:r>
          </w:p>
          <w:p w14:paraId="51C9D4B3"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Npr.</w:t>
            </w:r>
          </w:p>
          <w:p w14:paraId="46F1B1B1" w14:textId="77777777" w:rsidR="00C45EE6" w:rsidRPr="00C45EE6" w:rsidRDefault="00C45EE6" w:rsidP="00C45EE6">
            <w:pPr>
              <w:widowControl w:val="0"/>
              <w:numPr>
                <w:ilvl w:val="0"/>
                <w:numId w:val="5"/>
              </w:numPr>
              <w:autoSpaceDE w:val="0"/>
              <w:autoSpaceDN w:val="0"/>
              <w:adjustRightInd w:val="0"/>
              <w:spacing w:after="0" w:line="240" w:lineRule="auto"/>
              <w:jc w:val="both"/>
              <w:rPr>
                <w:rFonts w:eastAsia="Calibri"/>
                <w:sz w:val="20"/>
                <w:szCs w:val="20"/>
              </w:rPr>
            </w:pPr>
            <w:r w:rsidRPr="00C45EE6">
              <w:rPr>
                <w:rFonts w:eastAsia="Calibri"/>
                <w:sz w:val="20"/>
                <w:szCs w:val="20"/>
              </w:rPr>
              <w:t>tehničke specifikacije sadrže naziv robne marke, bez naznaka „ili jednakovrijedno“, „kao“, „tipa“, „slično“ i dr.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413AA4E6" w14:textId="77777777" w:rsidR="00C45EE6" w:rsidRPr="00C45EE6" w:rsidRDefault="00C45EE6" w:rsidP="00C45EE6">
            <w:pPr>
              <w:widowControl w:val="0"/>
              <w:numPr>
                <w:ilvl w:val="0"/>
                <w:numId w:val="5"/>
              </w:numPr>
              <w:autoSpaceDE w:val="0"/>
              <w:autoSpaceDN w:val="0"/>
              <w:adjustRightInd w:val="0"/>
              <w:spacing w:after="0" w:line="240" w:lineRule="auto"/>
              <w:jc w:val="both"/>
              <w:rPr>
                <w:rFonts w:eastAsia="Calibri"/>
                <w:sz w:val="20"/>
                <w:szCs w:val="20"/>
              </w:rPr>
            </w:pPr>
            <w:r w:rsidRPr="00C45EE6">
              <w:rPr>
                <w:rFonts w:eastAsia="Calibri"/>
                <w:sz w:val="20"/>
                <w:szCs w:val="20"/>
              </w:rPr>
              <w:t>tehničke specifikacije ne sadrže naziv robne marke, ali sadrže tehničke i funkcionalne zahtjeve koji su definirani na način da samo određena robna marka iste može ispuniti;</w:t>
            </w:r>
          </w:p>
          <w:p w14:paraId="01D4DDFB" w14:textId="77777777" w:rsidR="00C45EE6" w:rsidRPr="00C45EE6" w:rsidRDefault="00C45EE6" w:rsidP="00C45EE6">
            <w:pPr>
              <w:spacing w:after="240" w:line="240" w:lineRule="auto"/>
              <w:jc w:val="both"/>
              <w:rPr>
                <w:rFonts w:eastAsia="Calibri"/>
                <w:sz w:val="20"/>
                <w:szCs w:val="20"/>
              </w:rPr>
            </w:pPr>
          </w:p>
          <w:p w14:paraId="5E54922A" w14:textId="77777777" w:rsidR="00C45EE6" w:rsidRPr="00C45EE6" w:rsidRDefault="00C45EE6" w:rsidP="00C45EE6">
            <w:pPr>
              <w:spacing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D784700"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10 % od ugovorenog iznosa</w:t>
            </w:r>
          </w:p>
          <w:p w14:paraId="3A48B181" w14:textId="77777777" w:rsidR="00C45EE6" w:rsidRPr="00C45EE6" w:rsidRDefault="00C45EE6" w:rsidP="00C45EE6">
            <w:pPr>
              <w:spacing w:after="0" w:line="240" w:lineRule="auto"/>
              <w:jc w:val="both"/>
              <w:rPr>
                <w:rFonts w:eastAsia="Calibri"/>
                <w:sz w:val="20"/>
                <w:szCs w:val="20"/>
              </w:rPr>
            </w:pPr>
          </w:p>
          <w:p w14:paraId="11CE67ED"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Korekcija se može umanjiti na 5 %, </w:t>
            </w:r>
            <w:r w:rsidRPr="00C45EE6">
              <w:rPr>
                <w:rFonts w:eastAsia="Calibri"/>
              </w:rPr>
              <w:t xml:space="preserve"> </w:t>
            </w:r>
            <w:r w:rsidRPr="00C45EE6">
              <w:rPr>
                <w:rFonts w:eastAsia="Calibri"/>
                <w:sz w:val="20"/>
                <w:szCs w:val="20"/>
              </w:rPr>
              <w:t xml:space="preserve">ako je unatoč odvraćajućem učinku ipak osigurana minimalna razina tržišnog natjecanja, </w:t>
            </w:r>
          </w:p>
          <w:p w14:paraId="36759C35"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npr. veći broj prihvatljivih ponuda.</w:t>
            </w:r>
          </w:p>
          <w:p w14:paraId="58F65E11" w14:textId="77777777" w:rsidR="00C45EE6" w:rsidRPr="00C45EE6" w:rsidRDefault="00C45EE6" w:rsidP="00C45EE6">
            <w:pPr>
              <w:spacing w:after="0" w:line="240" w:lineRule="auto"/>
              <w:jc w:val="both"/>
              <w:rPr>
                <w:rFonts w:eastAsia="Calibri"/>
                <w:sz w:val="20"/>
                <w:szCs w:val="20"/>
              </w:rPr>
            </w:pPr>
          </w:p>
          <w:p w14:paraId="7E839095"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p>
          <w:p w14:paraId="184E9F3D" w14:textId="77777777" w:rsidR="00C45EE6" w:rsidRPr="00C45EE6" w:rsidRDefault="00C45EE6" w:rsidP="00C45EE6">
            <w:pPr>
              <w:spacing w:after="0" w:line="240" w:lineRule="auto"/>
              <w:jc w:val="both"/>
              <w:rPr>
                <w:rFonts w:eastAsia="Calibri"/>
                <w:sz w:val="20"/>
                <w:szCs w:val="20"/>
              </w:rPr>
            </w:pPr>
          </w:p>
          <w:p w14:paraId="1B3FAB6C" w14:textId="77777777" w:rsidR="00C45EE6" w:rsidRPr="00C45EE6" w:rsidRDefault="00C45EE6" w:rsidP="00C45EE6">
            <w:pPr>
              <w:spacing w:after="0" w:line="240" w:lineRule="auto"/>
              <w:jc w:val="both"/>
              <w:rPr>
                <w:rFonts w:eastAsia="Calibri"/>
                <w:sz w:val="20"/>
                <w:szCs w:val="20"/>
              </w:rPr>
            </w:pPr>
          </w:p>
          <w:p w14:paraId="74A013EA" w14:textId="77777777" w:rsidR="00C45EE6" w:rsidRPr="00C45EE6" w:rsidRDefault="00C45EE6" w:rsidP="00C45EE6">
            <w:pPr>
              <w:spacing w:after="0" w:line="240" w:lineRule="auto"/>
              <w:jc w:val="both"/>
              <w:rPr>
                <w:rFonts w:eastAsia="Calibri"/>
                <w:sz w:val="20"/>
                <w:szCs w:val="20"/>
              </w:rPr>
            </w:pPr>
          </w:p>
          <w:p w14:paraId="3C28F55D"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25%</w:t>
            </w:r>
          </w:p>
          <w:p w14:paraId="0A59C648"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u slučaju kada je navedeno dovelo do situacije u kojoj je samo jedan gospodarski subjekt mogao predati ponudu, a takav ishod ne može se opravdati </w:t>
            </w:r>
            <w:r w:rsidRPr="00C45EE6">
              <w:rPr>
                <w:rFonts w:eastAsia="Calibri"/>
                <w:sz w:val="20"/>
                <w:szCs w:val="20"/>
              </w:rPr>
              <w:lastRenderedPageBreak/>
              <w:t>tehničkim uvjetima određenog ugovora</w:t>
            </w:r>
          </w:p>
        </w:tc>
      </w:tr>
      <w:tr w:rsidR="00C45EE6" w:rsidRPr="00C45EE6" w14:paraId="6C915F02"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1258C6D8" w14:textId="77777777" w:rsidR="00C45EE6" w:rsidRPr="00C45EE6" w:rsidRDefault="00C45EE6" w:rsidP="00C45EE6">
            <w:pPr>
              <w:spacing w:after="240" w:line="240" w:lineRule="auto"/>
              <w:jc w:val="right"/>
              <w:rPr>
                <w:rFonts w:eastAsia="Calibri"/>
                <w:sz w:val="20"/>
                <w:szCs w:val="20"/>
              </w:rPr>
            </w:pPr>
            <w:r w:rsidRPr="00C45EE6">
              <w:rPr>
                <w:rFonts w:eastAsia="Calibri"/>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72D104F6"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57B84FEC"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Opis predmeta nabave u pozivu na dostavu ponuda nedostatan je ili neprecizan u smislu da može onemogućiti potencijalnim ponuditeljima određivanje predmeta ugovora.</w:t>
            </w:r>
          </w:p>
          <w:p w14:paraId="54DEE2A1" w14:textId="77777777" w:rsidR="00C45EE6" w:rsidRPr="00C45EE6" w:rsidRDefault="00C45EE6" w:rsidP="00C45EE6">
            <w:pPr>
              <w:spacing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A928C9"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10 % od ugovorenog iznosa</w:t>
            </w:r>
          </w:p>
          <w:p w14:paraId="458E68E2" w14:textId="77777777" w:rsidR="00C45EE6" w:rsidRPr="00C45EE6" w:rsidRDefault="00C45EE6" w:rsidP="00C45EE6">
            <w:pPr>
              <w:spacing w:after="240" w:line="240" w:lineRule="auto"/>
              <w:jc w:val="both"/>
              <w:rPr>
                <w:rFonts w:eastAsia="Calibri"/>
                <w:sz w:val="20"/>
                <w:szCs w:val="20"/>
              </w:rPr>
            </w:pPr>
          </w:p>
          <w:p w14:paraId="035A72FB"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Korekcija se može umanjiti na 5 %, ovisno o ozbiljnosti nepravilnosti</w:t>
            </w:r>
          </w:p>
          <w:p w14:paraId="3FF9C899" w14:textId="77777777" w:rsidR="00C45EE6" w:rsidRPr="00C45EE6" w:rsidRDefault="00C45EE6" w:rsidP="00C45EE6">
            <w:pPr>
              <w:spacing w:after="0" w:line="240" w:lineRule="auto"/>
              <w:jc w:val="both"/>
              <w:rPr>
                <w:rFonts w:eastAsia="Calibri"/>
                <w:strike/>
                <w:sz w:val="20"/>
                <w:szCs w:val="20"/>
              </w:rPr>
            </w:pPr>
          </w:p>
        </w:tc>
      </w:tr>
      <w:tr w:rsidR="00C45EE6" w:rsidRPr="00C45EE6" w14:paraId="373DFA03"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1FF6D03B" w14:textId="77777777" w:rsidR="00C45EE6" w:rsidRPr="00C45EE6" w:rsidRDefault="00C45EE6" w:rsidP="00C45EE6">
            <w:pPr>
              <w:spacing w:after="0" w:line="240" w:lineRule="auto"/>
              <w:jc w:val="right"/>
              <w:rPr>
                <w:rFonts w:eastAsia="Calibri"/>
                <w:sz w:val="20"/>
                <w:szCs w:val="20"/>
              </w:rPr>
            </w:pPr>
            <w:r w:rsidRPr="00C45EE6">
              <w:rPr>
                <w:rFonts w:eastAsia="Calibri"/>
                <w:sz w:val="20"/>
                <w:szCs w:val="20"/>
              </w:rPr>
              <w:t>9.</w:t>
            </w:r>
          </w:p>
        </w:tc>
        <w:tc>
          <w:tcPr>
            <w:tcW w:w="3823" w:type="dxa"/>
            <w:tcBorders>
              <w:top w:val="single" w:sz="4" w:space="0" w:color="auto"/>
              <w:left w:val="single" w:sz="4" w:space="0" w:color="auto"/>
              <w:bottom w:val="single" w:sz="4" w:space="0" w:color="auto"/>
              <w:right w:val="single" w:sz="4" w:space="0" w:color="auto"/>
            </w:tcBorders>
          </w:tcPr>
          <w:p w14:paraId="5A9F2EB0"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Nejednaki tretman ponuditelja tijekom pregleda i ocjene ponuda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27CF0C2D"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Prilikom pregleda i ocjene ponuda nije zatraženo pojašnjenje ili dopuna ponuda od svih ponuditelja, na jednak način, a isto je rezultiralo pogrešnim odabirom.</w:t>
            </w:r>
          </w:p>
          <w:p w14:paraId="4D12E5F3"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690C7FAE"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25 % od ugovorenog iznosa uz mogućnost umanjenja na 10% ili 5% ovisno o ozbiljnosti nepravilnosti</w:t>
            </w:r>
          </w:p>
          <w:p w14:paraId="1F8B1F56" w14:textId="77777777" w:rsidR="00C45EE6" w:rsidRPr="00C45EE6" w:rsidRDefault="00C45EE6" w:rsidP="00C45EE6">
            <w:pPr>
              <w:spacing w:after="0" w:line="240" w:lineRule="auto"/>
              <w:jc w:val="both"/>
              <w:rPr>
                <w:rFonts w:eastAsia="Calibri"/>
                <w:sz w:val="20"/>
                <w:szCs w:val="20"/>
              </w:rPr>
            </w:pPr>
          </w:p>
        </w:tc>
      </w:tr>
      <w:tr w:rsidR="00C45EE6" w:rsidRPr="00C45EE6" w14:paraId="075E18F5" w14:textId="77777777" w:rsidTr="00C30045">
        <w:trPr>
          <w:trHeight w:val="765"/>
        </w:trPr>
        <w:tc>
          <w:tcPr>
            <w:tcW w:w="567" w:type="dxa"/>
            <w:vMerge w:val="restart"/>
            <w:tcBorders>
              <w:top w:val="single" w:sz="4" w:space="0" w:color="auto"/>
              <w:left w:val="single" w:sz="4" w:space="0" w:color="auto"/>
              <w:right w:val="single" w:sz="4" w:space="0" w:color="auto"/>
            </w:tcBorders>
          </w:tcPr>
          <w:p w14:paraId="5FAD21C6" w14:textId="77777777" w:rsidR="00C45EE6" w:rsidRPr="00C45EE6" w:rsidRDefault="00C45EE6" w:rsidP="00C45EE6">
            <w:pPr>
              <w:spacing w:after="240" w:line="240" w:lineRule="auto"/>
              <w:jc w:val="right"/>
              <w:rPr>
                <w:rFonts w:eastAsia="Calibri"/>
                <w:sz w:val="20"/>
                <w:szCs w:val="20"/>
              </w:rPr>
            </w:pPr>
            <w:r w:rsidRPr="00C45EE6">
              <w:rPr>
                <w:rFonts w:eastAsia="Calibri"/>
                <w:sz w:val="20"/>
                <w:szCs w:val="20"/>
              </w:rPr>
              <w:t>10.</w:t>
            </w:r>
          </w:p>
        </w:tc>
        <w:tc>
          <w:tcPr>
            <w:tcW w:w="3823" w:type="dxa"/>
            <w:vMerge w:val="restart"/>
            <w:tcBorders>
              <w:top w:val="single" w:sz="4" w:space="0" w:color="auto"/>
              <w:left w:val="single" w:sz="4" w:space="0" w:color="auto"/>
              <w:right w:val="single" w:sz="4" w:space="0" w:color="auto"/>
            </w:tcBorders>
          </w:tcPr>
          <w:p w14:paraId="0FF59D39" w14:textId="77777777" w:rsidR="00C45EE6" w:rsidRPr="00C45EE6" w:rsidRDefault="00C45EE6" w:rsidP="00C45EE6">
            <w:pPr>
              <w:widowControl w:val="0"/>
              <w:spacing w:after="0" w:line="240" w:lineRule="auto"/>
              <w:jc w:val="both"/>
              <w:rPr>
                <w:rFonts w:eastAsia="Calibri"/>
                <w:b/>
                <w:sz w:val="20"/>
                <w:szCs w:val="20"/>
                <w:u w:val="single"/>
              </w:rPr>
            </w:pPr>
            <w:r w:rsidRPr="00C45EE6">
              <w:rPr>
                <w:rFonts w:eastAsia="Calibri"/>
                <w:sz w:val="20"/>
                <w:szCs w:val="20"/>
              </w:rPr>
              <w:t>Ponuda nije odabrana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5C9D4396"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Kriterij odabira ili ponderi navedeni u pozivu na dostavu ponude </w:t>
            </w:r>
          </w:p>
          <w:p w14:paraId="1836ADF5"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a) nisu uzeti u obzir prilikom ocjene ponude</w:t>
            </w:r>
          </w:p>
          <w:p w14:paraId="04BC4907"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 ili</w:t>
            </w:r>
          </w:p>
          <w:p w14:paraId="464A4DC9"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b) dodatni kriterij odabira nije javno objavljen a isti je uzet u obzir prilikom ocjenjivanja ponude</w:t>
            </w:r>
          </w:p>
          <w:p w14:paraId="2B96F35C" w14:textId="77777777" w:rsidR="00C45EE6" w:rsidRPr="00C45EE6" w:rsidRDefault="00C45EE6" w:rsidP="00C45EE6">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902D402"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25 % od ugovorenog iznosa uz mogućnost umanjenja na 10% ili 5%, ovisno o ozbiljnosti nepravilnosti </w:t>
            </w:r>
          </w:p>
          <w:p w14:paraId="5C8C246C" w14:textId="77777777" w:rsidR="00C45EE6" w:rsidRPr="00C45EE6" w:rsidRDefault="00C45EE6" w:rsidP="00C45EE6">
            <w:pPr>
              <w:spacing w:after="240" w:line="240" w:lineRule="auto"/>
              <w:jc w:val="both"/>
              <w:rPr>
                <w:rFonts w:eastAsia="Calibri"/>
                <w:sz w:val="20"/>
                <w:szCs w:val="20"/>
              </w:rPr>
            </w:pPr>
          </w:p>
        </w:tc>
      </w:tr>
      <w:tr w:rsidR="00C45EE6" w:rsidRPr="00C45EE6" w14:paraId="17537080" w14:textId="77777777" w:rsidTr="00C30045">
        <w:trPr>
          <w:trHeight w:val="1080"/>
        </w:trPr>
        <w:tc>
          <w:tcPr>
            <w:tcW w:w="567" w:type="dxa"/>
            <w:vMerge/>
            <w:tcBorders>
              <w:left w:val="single" w:sz="4" w:space="0" w:color="auto"/>
              <w:bottom w:val="single" w:sz="4" w:space="0" w:color="auto"/>
              <w:right w:val="single" w:sz="4" w:space="0" w:color="auto"/>
            </w:tcBorders>
          </w:tcPr>
          <w:p w14:paraId="3FF01AB0" w14:textId="77777777" w:rsidR="00C45EE6" w:rsidRPr="00C45EE6" w:rsidRDefault="00C45EE6" w:rsidP="00C45EE6">
            <w:pPr>
              <w:spacing w:after="0" w:line="240" w:lineRule="auto"/>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793CA7CD" w14:textId="77777777" w:rsidR="00C45EE6" w:rsidRPr="00C45EE6" w:rsidRDefault="00C45EE6" w:rsidP="00C45EE6">
            <w:pPr>
              <w:widowControl w:val="0"/>
              <w:spacing w:after="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26FE69D2" w14:textId="77777777" w:rsidR="00C45EE6" w:rsidRPr="00C45EE6" w:rsidRDefault="00C45EE6" w:rsidP="00C45EE6">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92E6AFE"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 </w:t>
            </w:r>
          </w:p>
          <w:p w14:paraId="54CB539C" w14:textId="77777777" w:rsidR="00C45EE6" w:rsidRPr="00C45EE6" w:rsidRDefault="00C45EE6" w:rsidP="00C45EE6">
            <w:pPr>
              <w:spacing w:after="240" w:line="240" w:lineRule="auto"/>
              <w:jc w:val="both"/>
              <w:rPr>
                <w:rFonts w:eastAsia="Calibri"/>
                <w:sz w:val="20"/>
                <w:szCs w:val="20"/>
              </w:rPr>
            </w:pPr>
          </w:p>
        </w:tc>
      </w:tr>
      <w:tr w:rsidR="00C45EE6" w:rsidRPr="00C45EE6" w14:paraId="106838E1"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770F9665" w14:textId="77777777" w:rsidR="00C45EE6" w:rsidRPr="00C45EE6" w:rsidRDefault="00C45EE6" w:rsidP="00C45EE6">
            <w:pPr>
              <w:spacing w:after="240" w:line="240" w:lineRule="auto"/>
              <w:jc w:val="right"/>
              <w:rPr>
                <w:rFonts w:eastAsia="Calibri"/>
                <w:sz w:val="20"/>
                <w:szCs w:val="20"/>
              </w:rPr>
            </w:pPr>
            <w:r w:rsidRPr="00C45EE6">
              <w:rPr>
                <w:rFonts w:eastAsia="Calibri"/>
                <w:sz w:val="20"/>
                <w:szCs w:val="20"/>
              </w:rPr>
              <w:t>11.</w:t>
            </w:r>
          </w:p>
        </w:tc>
        <w:tc>
          <w:tcPr>
            <w:tcW w:w="3823" w:type="dxa"/>
            <w:tcBorders>
              <w:top w:val="single" w:sz="4" w:space="0" w:color="auto"/>
              <w:left w:val="single" w:sz="4" w:space="0" w:color="auto"/>
              <w:bottom w:val="single" w:sz="4" w:space="0" w:color="auto"/>
              <w:right w:val="single" w:sz="4" w:space="0" w:color="auto"/>
            </w:tcBorders>
          </w:tcPr>
          <w:p w14:paraId="2C098DDD" w14:textId="77777777" w:rsidR="00C45EE6" w:rsidRPr="00C45EE6" w:rsidRDefault="00C45EE6" w:rsidP="00C45EE6">
            <w:pPr>
              <w:widowControl w:val="0"/>
              <w:spacing w:after="0" w:line="240" w:lineRule="auto"/>
              <w:jc w:val="both"/>
              <w:rPr>
                <w:rFonts w:eastAsia="Calibri"/>
                <w:sz w:val="20"/>
                <w:szCs w:val="20"/>
              </w:rPr>
            </w:pPr>
            <w:r w:rsidRPr="00C45EE6">
              <w:rPr>
                <w:rFonts w:eastAsia="Calibri"/>
                <w:sz w:val="20"/>
                <w:szCs w:val="20"/>
              </w:rPr>
              <w:t>Ponuda odabranog ponuditelja nije u skladu s tehničkim specifikacijama iz poziva na dostavu ponuda.</w:t>
            </w:r>
          </w:p>
          <w:p w14:paraId="059423CA" w14:textId="77777777" w:rsidR="00C45EE6" w:rsidRPr="00C45EE6" w:rsidRDefault="00C45EE6" w:rsidP="00C45EE6">
            <w:pPr>
              <w:widowControl w:val="0"/>
              <w:spacing w:after="0" w:line="240" w:lineRule="auto"/>
              <w:jc w:val="both"/>
              <w:rPr>
                <w:rFonts w:eastAsia="Calibri"/>
                <w:sz w:val="20"/>
                <w:szCs w:val="20"/>
              </w:rPr>
            </w:pPr>
          </w:p>
          <w:p w14:paraId="1F2DC152" w14:textId="77777777" w:rsidR="00C45EE6" w:rsidRPr="00C45EE6" w:rsidRDefault="00C45EE6" w:rsidP="00C45EE6">
            <w:pPr>
              <w:widowControl w:val="0"/>
              <w:spacing w:after="0" w:line="240" w:lineRule="auto"/>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95E1E76" w14:textId="77777777" w:rsidR="00C45EE6" w:rsidRPr="00C45EE6" w:rsidRDefault="00C45EE6" w:rsidP="00C45EE6">
            <w:pPr>
              <w:widowControl w:val="0"/>
              <w:spacing w:after="0" w:line="240" w:lineRule="auto"/>
              <w:jc w:val="both"/>
              <w:rPr>
                <w:rFonts w:eastAsia="Calibri"/>
                <w:sz w:val="20"/>
                <w:szCs w:val="20"/>
              </w:rPr>
            </w:pPr>
            <w:r w:rsidRPr="00C45EE6">
              <w:rPr>
                <w:rFonts w:eastAsia="Calibri"/>
                <w:sz w:val="20"/>
                <w:szCs w:val="20"/>
              </w:rPr>
              <w:t>Odabrana ponuda odudara od tehničkih specifikacija, što bi moglo dovesti do različitih rezultata vrednovanja.</w:t>
            </w:r>
          </w:p>
          <w:p w14:paraId="6AC36D21" w14:textId="77777777" w:rsidR="00C45EE6" w:rsidRPr="00C45EE6" w:rsidRDefault="00C45EE6" w:rsidP="00C45EE6">
            <w:pPr>
              <w:spacing w:after="0" w:line="240" w:lineRule="auto"/>
              <w:jc w:val="both"/>
              <w:rPr>
                <w:rFonts w:eastAsia="Calibri"/>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663E8A24"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25 % </w:t>
            </w:r>
            <w:r w:rsidRPr="00C45EE6">
              <w:rPr>
                <w:rFonts w:eastAsia="Calibri"/>
              </w:rPr>
              <w:t xml:space="preserve"> </w:t>
            </w:r>
            <w:r w:rsidRPr="00C45EE6">
              <w:rPr>
                <w:rFonts w:eastAsia="Calibri"/>
                <w:sz w:val="20"/>
                <w:szCs w:val="20"/>
              </w:rPr>
              <w:t>od ugovorenog iznosa uz mogućnost umanjenja na 10% ili 5%, ovisno o ozbiljnosti nepravilnosti.</w:t>
            </w:r>
          </w:p>
          <w:p w14:paraId="08466A49" w14:textId="77777777" w:rsidR="00C45EE6" w:rsidRPr="00C45EE6" w:rsidRDefault="00C45EE6" w:rsidP="00C45EE6">
            <w:pPr>
              <w:spacing w:after="240" w:line="240" w:lineRule="auto"/>
              <w:jc w:val="both"/>
              <w:rPr>
                <w:rFonts w:eastAsia="Calibri"/>
                <w:sz w:val="20"/>
                <w:szCs w:val="20"/>
              </w:rPr>
            </w:pPr>
            <w:r w:rsidRPr="00C45EE6">
              <w:rPr>
                <w:rFonts w:eastAsia="Calibri"/>
                <w:sz w:val="20"/>
                <w:szCs w:val="20"/>
              </w:rPr>
              <w:t xml:space="preserve">Ukoliko stavke troškovnika zahvaćene nepravilnošću čine manje od 5% ukupne vrijednosti ugovora te ukoliko se radi o stavkama koje su </w:t>
            </w:r>
            <w:r w:rsidRPr="00C45EE6">
              <w:rPr>
                <w:rFonts w:eastAsia="Calibri"/>
                <w:sz w:val="20"/>
                <w:szCs w:val="20"/>
              </w:rPr>
              <w:lastRenderedPageBreak/>
              <w:t>sporedne prirode i nemaju utjecaj na krug potencijalnih ponuditelja, u iznimnim i opravdanim slučajevima, moguće je odstupiti od razine financijske korekcije zadane u ovim Pravilima</w:t>
            </w:r>
          </w:p>
        </w:tc>
      </w:tr>
      <w:tr w:rsidR="00C45EE6" w:rsidRPr="00C45EE6" w14:paraId="64D3D002"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095AD8B9" w14:textId="77777777" w:rsidR="00C45EE6" w:rsidRPr="00C45EE6" w:rsidRDefault="00C45EE6" w:rsidP="00C45EE6">
            <w:pPr>
              <w:spacing w:after="240" w:line="240" w:lineRule="auto"/>
              <w:jc w:val="right"/>
              <w:rPr>
                <w:rFonts w:eastAsia="Calibri"/>
                <w:sz w:val="20"/>
                <w:szCs w:val="20"/>
              </w:rPr>
            </w:pPr>
            <w:r w:rsidRPr="00C45EE6">
              <w:rPr>
                <w:rFonts w:eastAsia="Calibri"/>
                <w:sz w:val="20"/>
                <w:szCs w:val="20"/>
              </w:rPr>
              <w:lastRenderedPageBreak/>
              <w:t>12.</w:t>
            </w:r>
          </w:p>
        </w:tc>
        <w:tc>
          <w:tcPr>
            <w:tcW w:w="3823" w:type="dxa"/>
            <w:tcBorders>
              <w:top w:val="single" w:sz="4" w:space="0" w:color="auto"/>
              <w:left w:val="single" w:sz="4" w:space="0" w:color="auto"/>
              <w:bottom w:val="single" w:sz="4" w:space="0" w:color="auto"/>
              <w:right w:val="single" w:sz="4" w:space="0" w:color="auto"/>
            </w:tcBorders>
          </w:tcPr>
          <w:p w14:paraId="7D38E188"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Izmjene uvjeta poziva na dostavu ponuda tijekom i nakon okončanja postupka</w:t>
            </w:r>
          </w:p>
          <w:p w14:paraId="0A3124AE" w14:textId="77777777" w:rsidR="00C45EE6" w:rsidRPr="00C45EE6" w:rsidRDefault="00C45EE6" w:rsidP="00C45EE6">
            <w:pPr>
              <w:spacing w:after="0" w:line="240" w:lineRule="auto"/>
              <w:jc w:val="both"/>
              <w:rPr>
                <w:rFonts w:eastAsia="Calibri"/>
                <w:sz w:val="20"/>
                <w:szCs w:val="20"/>
              </w:rPr>
            </w:pPr>
          </w:p>
          <w:p w14:paraId="1A58EDDF" w14:textId="77777777" w:rsidR="00C45EE6" w:rsidRPr="00C45EE6" w:rsidRDefault="00C45EE6" w:rsidP="00C45EE6">
            <w:pPr>
              <w:widowControl w:val="0"/>
              <w:spacing w:after="240" w:line="240" w:lineRule="auto"/>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0AA4280"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7EC61511" w14:textId="77777777" w:rsidR="00C45EE6" w:rsidRPr="00C45EE6" w:rsidRDefault="00C45EE6" w:rsidP="00C45EE6">
            <w:pPr>
              <w:widowControl w:val="0"/>
              <w:numPr>
                <w:ilvl w:val="0"/>
                <w:numId w:val="2"/>
              </w:numPr>
              <w:spacing w:after="0" w:line="240" w:lineRule="auto"/>
              <w:ind w:left="538"/>
              <w:jc w:val="both"/>
              <w:rPr>
                <w:rFonts w:eastAsia="Calibri"/>
                <w:sz w:val="20"/>
                <w:szCs w:val="20"/>
              </w:rPr>
            </w:pPr>
            <w:r w:rsidRPr="00C45EE6">
              <w:rPr>
                <w:rFonts w:eastAsia="Calibri"/>
                <w:sz w:val="20"/>
                <w:szCs w:val="20"/>
              </w:rPr>
              <w:t>jamstva nisu zatražena, iako su navedena u pozivu na dostavu ponuda,povoljniji uvjeti plaćanja (uključujući povećanje zajmova),</w:t>
            </w:r>
          </w:p>
          <w:p w14:paraId="102334F3" w14:textId="77777777" w:rsidR="00C45EE6" w:rsidRPr="00C45EE6" w:rsidRDefault="00C45EE6" w:rsidP="00C45EE6">
            <w:pPr>
              <w:widowControl w:val="0"/>
              <w:numPr>
                <w:ilvl w:val="0"/>
                <w:numId w:val="2"/>
              </w:numPr>
              <w:spacing w:after="0" w:line="240" w:lineRule="auto"/>
              <w:ind w:left="538"/>
              <w:jc w:val="both"/>
              <w:rPr>
                <w:rFonts w:eastAsia="Calibri"/>
                <w:sz w:val="20"/>
                <w:szCs w:val="20"/>
              </w:rPr>
            </w:pPr>
            <w:r w:rsidRPr="00C45EE6">
              <w:rPr>
                <w:rFonts w:eastAsia="Calibri"/>
                <w:sz w:val="20"/>
                <w:szCs w:val="20"/>
              </w:rPr>
              <w:t>smanjeni opseg usluga, roba, radova,</w:t>
            </w:r>
          </w:p>
          <w:p w14:paraId="31B306D9" w14:textId="77777777" w:rsidR="00C45EE6" w:rsidRPr="00C45EE6" w:rsidRDefault="00C45EE6" w:rsidP="00C45EE6">
            <w:pPr>
              <w:widowControl w:val="0"/>
              <w:numPr>
                <w:ilvl w:val="0"/>
                <w:numId w:val="2"/>
              </w:numPr>
              <w:spacing w:after="0" w:line="240" w:lineRule="auto"/>
              <w:ind w:left="538"/>
              <w:jc w:val="both"/>
              <w:rPr>
                <w:rFonts w:eastAsia="Calibri"/>
                <w:sz w:val="20"/>
                <w:szCs w:val="20"/>
              </w:rPr>
            </w:pPr>
            <w:r w:rsidRPr="00C45EE6">
              <w:rPr>
                <w:rFonts w:eastAsia="Calibri"/>
                <w:sz w:val="20"/>
                <w:szCs w:val="20"/>
              </w:rPr>
              <w:t>produženi rokovi isporuke,</w:t>
            </w:r>
          </w:p>
          <w:p w14:paraId="3C1A91FE" w14:textId="77777777" w:rsidR="00C45EE6" w:rsidRPr="00C45EE6" w:rsidRDefault="00C45EE6" w:rsidP="00C45EE6">
            <w:pPr>
              <w:widowControl w:val="0"/>
              <w:numPr>
                <w:ilvl w:val="0"/>
                <w:numId w:val="2"/>
              </w:numPr>
              <w:spacing w:after="240" w:line="240" w:lineRule="auto"/>
              <w:ind w:left="538"/>
              <w:jc w:val="both"/>
              <w:rPr>
                <w:rFonts w:eastAsia="Calibri"/>
                <w:b/>
                <w:sz w:val="20"/>
                <w:szCs w:val="20"/>
                <w:u w:val="single"/>
              </w:rPr>
            </w:pPr>
            <w:r w:rsidRPr="00C45EE6">
              <w:rPr>
                <w:rFonts w:eastAsia="Calibri"/>
                <w:sz w:val="20"/>
                <w:szCs w:val="20"/>
              </w:rPr>
              <w:t>ugovorne kazne za odgođeno izvršenje izbrisane iz odredbi ugovora</w:t>
            </w:r>
          </w:p>
          <w:p w14:paraId="625F8AF9" w14:textId="77777777" w:rsidR="00C45EE6" w:rsidRPr="00C45EE6" w:rsidRDefault="00C45EE6" w:rsidP="00C45EE6">
            <w:pPr>
              <w:spacing w:after="0" w:line="240" w:lineRule="auto"/>
              <w:jc w:val="both"/>
              <w:rPr>
                <w:rFonts w:eastAsia="Calibri"/>
                <w:sz w:val="20"/>
                <w:szCs w:val="20"/>
              </w:rPr>
            </w:pPr>
          </w:p>
          <w:p w14:paraId="06635A29" w14:textId="77777777" w:rsidR="00C45EE6" w:rsidRPr="00C45EE6" w:rsidRDefault="00C45EE6" w:rsidP="00C45EE6">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C86995C"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25% od ugovorenog iznosa </w:t>
            </w:r>
          </w:p>
          <w:p w14:paraId="42B61652" w14:textId="77777777" w:rsidR="00C45EE6" w:rsidRPr="00C45EE6" w:rsidRDefault="00C45EE6" w:rsidP="00C45EE6">
            <w:pPr>
              <w:spacing w:after="0" w:line="240" w:lineRule="auto"/>
              <w:jc w:val="both"/>
              <w:rPr>
                <w:rFonts w:eastAsia="Calibri"/>
                <w:sz w:val="20"/>
                <w:szCs w:val="20"/>
              </w:rPr>
            </w:pPr>
          </w:p>
          <w:p w14:paraId="5E830E98" w14:textId="77777777" w:rsidR="00C45EE6" w:rsidRPr="00C45EE6" w:rsidRDefault="00C45EE6" w:rsidP="00C45EE6">
            <w:pPr>
              <w:spacing w:after="240" w:line="240" w:lineRule="auto"/>
              <w:jc w:val="both"/>
              <w:rPr>
                <w:rFonts w:eastAsia="Calibri"/>
                <w:sz w:val="20"/>
                <w:szCs w:val="20"/>
              </w:rPr>
            </w:pPr>
          </w:p>
        </w:tc>
      </w:tr>
      <w:tr w:rsidR="00C45EE6" w:rsidRPr="00C45EE6" w14:paraId="2BA1B9D4" w14:textId="77777777" w:rsidTr="00C30045">
        <w:trPr>
          <w:trHeight w:val="5519"/>
        </w:trPr>
        <w:tc>
          <w:tcPr>
            <w:tcW w:w="567" w:type="dxa"/>
            <w:tcBorders>
              <w:top w:val="single" w:sz="4" w:space="0" w:color="auto"/>
              <w:left w:val="single" w:sz="4" w:space="0" w:color="auto"/>
              <w:right w:val="single" w:sz="4" w:space="0" w:color="auto"/>
            </w:tcBorders>
          </w:tcPr>
          <w:p w14:paraId="2CDFC10F" w14:textId="77777777" w:rsidR="00C45EE6" w:rsidRPr="00C45EE6" w:rsidRDefault="00C45EE6" w:rsidP="00C45EE6">
            <w:pPr>
              <w:spacing w:after="0" w:line="240" w:lineRule="auto"/>
              <w:jc w:val="right"/>
              <w:rPr>
                <w:rFonts w:eastAsia="Calibri"/>
                <w:sz w:val="20"/>
                <w:szCs w:val="20"/>
              </w:rPr>
            </w:pPr>
            <w:r w:rsidRPr="00C45EE6">
              <w:rPr>
                <w:rFonts w:eastAsia="Calibri"/>
                <w:sz w:val="20"/>
                <w:szCs w:val="20"/>
              </w:rPr>
              <w:lastRenderedPageBreak/>
              <w:t>15.</w:t>
            </w:r>
          </w:p>
        </w:tc>
        <w:tc>
          <w:tcPr>
            <w:tcW w:w="3823" w:type="dxa"/>
            <w:tcBorders>
              <w:top w:val="single" w:sz="4" w:space="0" w:color="auto"/>
              <w:left w:val="single" w:sz="4" w:space="0" w:color="auto"/>
              <w:right w:val="single" w:sz="4" w:space="0" w:color="auto"/>
            </w:tcBorders>
          </w:tcPr>
          <w:p w14:paraId="1EFE183F"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Izmjene ugovora o nabavi tijekom njegovog trajanja.</w:t>
            </w:r>
          </w:p>
          <w:p w14:paraId="14F4DA6B" w14:textId="77777777" w:rsidR="00C45EE6" w:rsidRPr="00C45EE6" w:rsidRDefault="00C45EE6" w:rsidP="00C45EE6">
            <w:pPr>
              <w:autoSpaceDE w:val="0"/>
              <w:autoSpaceDN w:val="0"/>
              <w:adjustRightInd w:val="0"/>
              <w:spacing w:after="0" w:line="240" w:lineRule="auto"/>
              <w:jc w:val="both"/>
              <w:rPr>
                <w:rFonts w:eastAsia="Calibri"/>
                <w:sz w:val="20"/>
                <w:szCs w:val="20"/>
              </w:rPr>
            </w:pPr>
          </w:p>
          <w:p w14:paraId="106BF0D3"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 xml:space="preserve">Izmjena se smatra značajnom ako </w:t>
            </w:r>
            <w:r w:rsidRPr="00C45EE6">
              <w:rPr>
                <w:rFonts w:eastAsia="Calibri"/>
                <w:sz w:val="20"/>
                <w:szCs w:val="20"/>
                <w:vertAlign w:val="superscript"/>
              </w:rPr>
              <w:footnoteReference w:id="14"/>
            </w:r>
            <w:r w:rsidRPr="00C45EE6">
              <w:rPr>
                <w:rFonts w:eastAsia="Calibri"/>
                <w:sz w:val="20"/>
                <w:szCs w:val="20"/>
              </w:rPr>
              <w:t>:</w:t>
            </w:r>
          </w:p>
          <w:p w14:paraId="180279BD"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a) se izmjenom unosi uvjeti, koji da su bili dio prvotnog postupka nabave, bi omogućili uključivanje drugih ponuditelja različitih od onih koji su prvotno odabrani,</w:t>
            </w:r>
          </w:p>
          <w:p w14:paraId="32050C25" w14:textId="77777777" w:rsidR="00C45EE6" w:rsidRPr="00C45EE6" w:rsidRDefault="00C45EE6" w:rsidP="00C45EE6">
            <w:pPr>
              <w:autoSpaceDE w:val="0"/>
              <w:autoSpaceDN w:val="0"/>
              <w:adjustRightInd w:val="0"/>
              <w:spacing w:after="0" w:line="240" w:lineRule="auto"/>
              <w:jc w:val="both"/>
              <w:rPr>
                <w:rFonts w:eastAsia="Calibri"/>
                <w:sz w:val="20"/>
                <w:szCs w:val="20"/>
              </w:rPr>
            </w:pPr>
          </w:p>
          <w:p w14:paraId="06AFC209"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b) bi dovele do dodjele ugovora ugovaratelju različitom od onog kojem je prvotno dodijeljen ugovor,</w:t>
            </w:r>
          </w:p>
          <w:p w14:paraId="1FB3778A" w14:textId="77777777" w:rsidR="00C45EE6" w:rsidRPr="00C45EE6" w:rsidRDefault="00C45EE6" w:rsidP="00C45EE6">
            <w:pPr>
              <w:autoSpaceDE w:val="0"/>
              <w:autoSpaceDN w:val="0"/>
              <w:adjustRightInd w:val="0"/>
              <w:spacing w:after="0" w:line="240" w:lineRule="auto"/>
              <w:jc w:val="both"/>
              <w:rPr>
                <w:rFonts w:eastAsia="Calibri"/>
                <w:sz w:val="20"/>
                <w:szCs w:val="20"/>
              </w:rPr>
            </w:pPr>
          </w:p>
          <w:p w14:paraId="42FD9950"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c) se značajno povećava opseg ugovora koji sadržava radove/usluge/robe koje nisu prvotno tražene.</w:t>
            </w:r>
          </w:p>
          <w:p w14:paraId="15EF6409" w14:textId="77777777" w:rsidR="00C45EE6" w:rsidRPr="00C45EE6" w:rsidRDefault="00C45EE6" w:rsidP="00C45EE6">
            <w:pPr>
              <w:autoSpaceDE w:val="0"/>
              <w:autoSpaceDN w:val="0"/>
              <w:adjustRightInd w:val="0"/>
              <w:spacing w:after="0" w:line="240" w:lineRule="auto"/>
              <w:ind w:left="390"/>
              <w:jc w:val="both"/>
              <w:rPr>
                <w:rFonts w:eastAsia="Calibri"/>
                <w:sz w:val="20"/>
                <w:szCs w:val="20"/>
              </w:rPr>
            </w:pPr>
          </w:p>
          <w:p w14:paraId="1BDD7C2C"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Izmjene mijenjaju ekonomsku ravnotežu u korist ugovaratelja na način koji nije predviđen prvotnim ugovorom.</w:t>
            </w:r>
          </w:p>
          <w:p w14:paraId="1AF161BA" w14:textId="77777777" w:rsidR="00C45EE6" w:rsidRPr="00C45EE6" w:rsidRDefault="00C45EE6" w:rsidP="00C45EE6">
            <w:pPr>
              <w:spacing w:after="0" w:line="240" w:lineRule="auto"/>
              <w:jc w:val="both"/>
              <w:rPr>
                <w:rFonts w:eastAsia="Calibri"/>
                <w:sz w:val="20"/>
                <w:szCs w:val="20"/>
              </w:rPr>
            </w:pPr>
          </w:p>
          <w:p w14:paraId="393EE9D2" w14:textId="77777777" w:rsidR="00C45EE6" w:rsidRPr="00C45EE6" w:rsidRDefault="00C45EE6" w:rsidP="00C45EE6">
            <w:pPr>
              <w:spacing w:after="0" w:line="240" w:lineRule="auto"/>
              <w:jc w:val="both"/>
              <w:rPr>
                <w:rFonts w:eastAsia="Calibri"/>
                <w:sz w:val="20"/>
                <w:szCs w:val="20"/>
              </w:rPr>
            </w:pPr>
          </w:p>
          <w:p w14:paraId="3D9D018B" w14:textId="77777777" w:rsidR="00C45EE6" w:rsidRPr="00C45EE6" w:rsidRDefault="00C45EE6" w:rsidP="00C45EE6">
            <w:pPr>
              <w:spacing w:after="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4B510CAF"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 xml:space="preserve">Bitni elementi sklapanja ugovora uključuju, ali nisu ograničeni na, cijenu, prirodu radova, rok završetka, uvjete plaćanja i korištene materijale. </w:t>
            </w:r>
          </w:p>
          <w:p w14:paraId="7F607195" w14:textId="77777777" w:rsidR="00C45EE6" w:rsidRPr="00C45EE6" w:rsidRDefault="00C45EE6" w:rsidP="00C45EE6">
            <w:pPr>
              <w:autoSpaceDE w:val="0"/>
              <w:autoSpaceDN w:val="0"/>
              <w:adjustRightInd w:val="0"/>
              <w:spacing w:after="0" w:line="240" w:lineRule="auto"/>
              <w:jc w:val="both"/>
              <w:rPr>
                <w:rFonts w:eastAsia="Calibri"/>
                <w:sz w:val="20"/>
                <w:szCs w:val="20"/>
              </w:rPr>
            </w:pPr>
          </w:p>
          <w:p w14:paraId="31F2636E" w14:textId="77777777" w:rsidR="00C45EE6" w:rsidRPr="00C45EE6" w:rsidRDefault="00C45EE6" w:rsidP="00C45EE6">
            <w:pPr>
              <w:autoSpaceDE w:val="0"/>
              <w:autoSpaceDN w:val="0"/>
              <w:adjustRightInd w:val="0"/>
              <w:spacing w:after="0" w:line="240" w:lineRule="auto"/>
              <w:jc w:val="both"/>
              <w:rPr>
                <w:rFonts w:eastAsia="Calibri"/>
                <w:sz w:val="20"/>
                <w:szCs w:val="20"/>
              </w:rPr>
            </w:pPr>
            <w:r w:rsidRPr="00C45EE6">
              <w:rPr>
                <w:rFonts w:eastAsia="Calibri"/>
                <w:sz w:val="20"/>
                <w:szCs w:val="20"/>
              </w:rPr>
              <w:t>Uvijek je nužno napraviti analize za svaki pojedinačni slučaj što je bitan element</w:t>
            </w:r>
          </w:p>
        </w:tc>
        <w:tc>
          <w:tcPr>
            <w:tcW w:w="2126" w:type="dxa"/>
            <w:tcBorders>
              <w:top w:val="single" w:sz="4" w:space="0" w:color="auto"/>
              <w:left w:val="single" w:sz="4" w:space="0" w:color="auto"/>
              <w:bottom w:val="single" w:sz="4" w:space="0" w:color="auto"/>
              <w:right w:val="single" w:sz="4" w:space="0" w:color="auto"/>
            </w:tcBorders>
          </w:tcPr>
          <w:p w14:paraId="3ADD4801"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25% ugovorene cijene  i</w:t>
            </w:r>
          </w:p>
          <w:p w14:paraId="56202E6C"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vrijednosti dodatnog iznosa ugovora proizašlog iz izmjene elemenata ugovora</w:t>
            </w:r>
          </w:p>
        </w:tc>
      </w:tr>
      <w:tr w:rsidR="00C45EE6" w:rsidRPr="00C45EE6" w14:paraId="5EA5EC08"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7662D6A0" w14:textId="77777777" w:rsidR="00C45EE6" w:rsidRPr="00C45EE6" w:rsidRDefault="00C45EE6" w:rsidP="00C45EE6">
            <w:pPr>
              <w:spacing w:before="240" w:after="240" w:line="240" w:lineRule="auto"/>
              <w:rPr>
                <w:rFonts w:eastAsia="Calibri"/>
                <w:sz w:val="20"/>
                <w:szCs w:val="20"/>
              </w:rPr>
            </w:pPr>
            <w:r w:rsidRPr="00C45EE6">
              <w:rPr>
                <w:rFonts w:eastAsia="Calibri"/>
                <w:sz w:val="20"/>
                <w:szCs w:val="20"/>
              </w:rPr>
              <w:t>17.</w:t>
            </w:r>
          </w:p>
        </w:tc>
        <w:tc>
          <w:tcPr>
            <w:tcW w:w="3823" w:type="dxa"/>
            <w:tcBorders>
              <w:top w:val="single" w:sz="4" w:space="0" w:color="auto"/>
              <w:left w:val="single" w:sz="4" w:space="0" w:color="auto"/>
              <w:bottom w:val="single" w:sz="4" w:space="0" w:color="auto"/>
              <w:right w:val="single" w:sz="4" w:space="0" w:color="auto"/>
            </w:tcBorders>
          </w:tcPr>
          <w:p w14:paraId="48D0A572" w14:textId="77777777" w:rsidR="00C45EE6" w:rsidRPr="00C45EE6" w:rsidRDefault="00C45EE6" w:rsidP="00C45EE6">
            <w:pPr>
              <w:spacing w:before="240" w:after="240" w:line="240" w:lineRule="auto"/>
              <w:jc w:val="both"/>
              <w:rPr>
                <w:rFonts w:eastAsia="Calibri"/>
                <w:sz w:val="20"/>
                <w:szCs w:val="20"/>
              </w:rPr>
            </w:pPr>
            <w:r w:rsidRPr="00C45EE6">
              <w:rPr>
                <w:rFonts w:eastAsia="Calibr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0767E0DB" w14:textId="77777777" w:rsidR="00C45EE6" w:rsidRPr="00C45EE6" w:rsidRDefault="00C45EE6" w:rsidP="00C45EE6">
            <w:pPr>
              <w:spacing w:before="240" w:after="240" w:line="240" w:lineRule="auto"/>
              <w:jc w:val="both"/>
              <w:rPr>
                <w:rFonts w:eastAsia="Calibri"/>
                <w:sz w:val="20"/>
                <w:szCs w:val="20"/>
              </w:rPr>
            </w:pPr>
            <w:r w:rsidRPr="00C45EE6">
              <w:rPr>
                <w:rFonts w:eastAsia="Calibr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3729EE40" w14:textId="77777777" w:rsidR="00C45EE6" w:rsidRPr="00C45EE6" w:rsidRDefault="00C45EE6" w:rsidP="00C45EE6">
            <w:pPr>
              <w:spacing w:after="0" w:line="240" w:lineRule="auto"/>
              <w:jc w:val="both"/>
              <w:rPr>
                <w:rFonts w:eastAsia="Calibri"/>
                <w:sz w:val="20"/>
                <w:szCs w:val="20"/>
              </w:rPr>
            </w:pPr>
            <w:r w:rsidRPr="00C45EE6">
              <w:rPr>
                <w:rFonts w:eastAsia="Calibri"/>
                <w:sz w:val="20"/>
                <w:szCs w:val="20"/>
              </w:rPr>
              <w:t xml:space="preserve">100% korekcija  </w:t>
            </w:r>
          </w:p>
        </w:tc>
      </w:tr>
      <w:tr w:rsidR="00C45EE6" w:rsidRPr="00C45EE6" w14:paraId="411D4311" w14:textId="77777777" w:rsidTr="00C30045">
        <w:trPr>
          <w:trHeight w:val="1833"/>
        </w:trPr>
        <w:tc>
          <w:tcPr>
            <w:tcW w:w="567" w:type="dxa"/>
            <w:tcBorders>
              <w:top w:val="single" w:sz="4" w:space="0" w:color="auto"/>
              <w:left w:val="single" w:sz="4" w:space="0" w:color="auto"/>
              <w:bottom w:val="single" w:sz="4" w:space="0" w:color="auto"/>
              <w:right w:val="single" w:sz="4" w:space="0" w:color="auto"/>
            </w:tcBorders>
          </w:tcPr>
          <w:p w14:paraId="1E5CE67F" w14:textId="77777777" w:rsidR="00C45EE6" w:rsidRPr="00C45EE6" w:rsidRDefault="00C45EE6" w:rsidP="00C45EE6">
            <w:pPr>
              <w:spacing w:before="240" w:after="240" w:line="240" w:lineRule="auto"/>
              <w:rPr>
                <w:rFonts w:eastAsia="Calibri"/>
                <w:sz w:val="20"/>
                <w:szCs w:val="20"/>
              </w:rPr>
            </w:pPr>
            <w:r w:rsidRPr="00C45EE6">
              <w:rPr>
                <w:rFonts w:eastAsia="Calibri"/>
                <w:sz w:val="20"/>
                <w:szCs w:val="20"/>
              </w:rPr>
              <w:t>18.</w:t>
            </w:r>
          </w:p>
        </w:tc>
        <w:tc>
          <w:tcPr>
            <w:tcW w:w="3823" w:type="dxa"/>
            <w:tcBorders>
              <w:top w:val="single" w:sz="4" w:space="0" w:color="auto"/>
              <w:left w:val="single" w:sz="4" w:space="0" w:color="auto"/>
              <w:bottom w:val="single" w:sz="4" w:space="0" w:color="auto"/>
              <w:right w:val="single" w:sz="4" w:space="0" w:color="auto"/>
            </w:tcBorders>
          </w:tcPr>
          <w:p w14:paraId="6D0345B7" w14:textId="77777777" w:rsidR="00C45EE6" w:rsidRPr="00C45EE6" w:rsidRDefault="00C45EE6" w:rsidP="00C45EE6">
            <w:pPr>
              <w:spacing w:before="240" w:after="240" w:line="240" w:lineRule="auto"/>
              <w:jc w:val="both"/>
              <w:rPr>
                <w:rFonts w:eastAsia="Calibri"/>
                <w:sz w:val="20"/>
                <w:szCs w:val="20"/>
              </w:rPr>
            </w:pPr>
            <w:r w:rsidRPr="00C45EE6">
              <w:rPr>
                <w:rFonts w:eastAsia="Calibr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3196646F" w14:textId="77777777" w:rsidR="00C45EE6" w:rsidRPr="00C45EE6" w:rsidRDefault="00C45EE6" w:rsidP="00C45EE6">
            <w:pPr>
              <w:spacing w:before="240" w:after="240" w:line="240" w:lineRule="auto"/>
              <w:jc w:val="both"/>
              <w:rPr>
                <w:rFonts w:eastAsia="Calibri"/>
                <w:sz w:val="20"/>
                <w:szCs w:val="20"/>
              </w:rPr>
            </w:pPr>
            <w:r w:rsidRPr="00C45EE6">
              <w:rPr>
                <w:rFonts w:eastAsia="Calibri"/>
                <w:sz w:val="20"/>
                <w:szCs w:val="20"/>
              </w:rPr>
              <w:t>Procjenjuje se u skladu s odredbama Pravila za NOJN</w:t>
            </w:r>
          </w:p>
          <w:p w14:paraId="7197BFFA" w14:textId="77777777" w:rsidR="00C45EE6" w:rsidRPr="00C45EE6" w:rsidRDefault="00C45EE6" w:rsidP="00C45EE6">
            <w:pPr>
              <w:spacing w:before="240"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5ACC8DD" w14:textId="77777777" w:rsidR="00C45EE6" w:rsidRPr="00C45EE6" w:rsidRDefault="00C45EE6" w:rsidP="00C45EE6">
            <w:pPr>
              <w:spacing w:before="240" w:after="240" w:line="240" w:lineRule="auto"/>
              <w:jc w:val="both"/>
              <w:rPr>
                <w:rFonts w:eastAsia="Calibri"/>
                <w:bCs/>
                <w:sz w:val="20"/>
                <w:szCs w:val="20"/>
              </w:rPr>
            </w:pPr>
            <w:r w:rsidRPr="00C45EE6">
              <w:rPr>
                <w:rFonts w:eastAsia="Calibri"/>
                <w:bCs/>
                <w:sz w:val="20"/>
                <w:szCs w:val="20"/>
              </w:rPr>
              <w:t>100 % korekcija troška na koji se odnosi</w:t>
            </w:r>
          </w:p>
          <w:p w14:paraId="30A2A79E" w14:textId="77777777" w:rsidR="00C45EE6" w:rsidRPr="00C45EE6" w:rsidRDefault="00C45EE6" w:rsidP="00C45EE6">
            <w:pPr>
              <w:spacing w:before="240" w:after="240" w:line="240" w:lineRule="auto"/>
              <w:jc w:val="both"/>
              <w:rPr>
                <w:rFonts w:eastAsia="Calibri"/>
                <w:bCs/>
                <w:sz w:val="20"/>
                <w:szCs w:val="20"/>
              </w:rPr>
            </w:pPr>
          </w:p>
          <w:p w14:paraId="6B05305D" w14:textId="77777777" w:rsidR="00C45EE6" w:rsidRPr="00C45EE6" w:rsidRDefault="00C45EE6" w:rsidP="00C45EE6">
            <w:pPr>
              <w:spacing w:before="240" w:after="240" w:line="240" w:lineRule="auto"/>
              <w:jc w:val="both"/>
              <w:rPr>
                <w:rFonts w:eastAsia="Calibri"/>
                <w:sz w:val="20"/>
                <w:szCs w:val="20"/>
              </w:rPr>
            </w:pPr>
          </w:p>
        </w:tc>
      </w:tr>
    </w:tbl>
    <w:p w14:paraId="1AA2B094" w14:textId="024FDE81" w:rsidR="00C45EE6" w:rsidRDefault="00C45EE6" w:rsidP="00C45EE6">
      <w:pPr>
        <w:tabs>
          <w:tab w:val="left" w:pos="2040"/>
        </w:tabs>
        <w:spacing w:before="240" w:after="240" w:line="240" w:lineRule="auto"/>
        <w:rPr>
          <w:rFonts w:ascii="Times New Roman" w:eastAsia="Calibri" w:hAnsi="Times New Roman"/>
          <w:b/>
        </w:rPr>
      </w:pPr>
    </w:p>
    <w:p w14:paraId="4D17AF50" w14:textId="47B13857" w:rsidR="00080C31" w:rsidRDefault="00080C31" w:rsidP="00C45EE6">
      <w:pPr>
        <w:tabs>
          <w:tab w:val="left" w:pos="2040"/>
        </w:tabs>
        <w:spacing w:before="240" w:after="240" w:line="240" w:lineRule="auto"/>
        <w:rPr>
          <w:rFonts w:ascii="Times New Roman" w:eastAsia="Calibri" w:hAnsi="Times New Roman"/>
          <w:b/>
        </w:rPr>
      </w:pPr>
    </w:p>
    <w:p w14:paraId="74CB42C9" w14:textId="4838093D" w:rsidR="00080C31" w:rsidRDefault="00080C31" w:rsidP="00C45EE6">
      <w:pPr>
        <w:tabs>
          <w:tab w:val="left" w:pos="2040"/>
        </w:tabs>
        <w:spacing w:before="240" w:after="240" w:line="240" w:lineRule="auto"/>
        <w:rPr>
          <w:rFonts w:ascii="Times New Roman" w:eastAsia="Calibri" w:hAnsi="Times New Roman"/>
          <w:b/>
        </w:rPr>
      </w:pPr>
    </w:p>
    <w:p w14:paraId="28C73A9C" w14:textId="6DE6B811" w:rsidR="00080C31" w:rsidRDefault="00080C31" w:rsidP="00C45EE6">
      <w:pPr>
        <w:tabs>
          <w:tab w:val="left" w:pos="2040"/>
        </w:tabs>
        <w:spacing w:before="240" w:after="240" w:line="240" w:lineRule="auto"/>
        <w:rPr>
          <w:rFonts w:ascii="Times New Roman" w:eastAsia="Calibri" w:hAnsi="Times New Roman"/>
          <w:b/>
        </w:rPr>
      </w:pPr>
    </w:p>
    <w:p w14:paraId="1F199240" w14:textId="2B3205B5" w:rsidR="00080C31" w:rsidRPr="00C45EE6" w:rsidRDefault="00080C31" w:rsidP="00C45EE6">
      <w:pPr>
        <w:tabs>
          <w:tab w:val="left" w:pos="2040"/>
        </w:tabs>
        <w:spacing w:before="240" w:after="240" w:line="240" w:lineRule="auto"/>
        <w:rPr>
          <w:rFonts w:ascii="Times New Roman" w:eastAsia="Calibri" w:hAnsi="Times New Roman"/>
          <w:b/>
        </w:rPr>
      </w:pPr>
    </w:p>
    <w:p w14:paraId="6E5CE997" w14:textId="77777777" w:rsidR="00C45EE6" w:rsidRPr="00C45EE6" w:rsidRDefault="00C45EE6" w:rsidP="00C45EE6">
      <w:pPr>
        <w:tabs>
          <w:tab w:val="left" w:pos="2040"/>
        </w:tabs>
        <w:spacing w:before="240" w:after="240" w:line="240" w:lineRule="auto"/>
        <w:rPr>
          <w:rFonts w:ascii="Times New Roman" w:eastAsia="Calibri" w:hAnsi="Times New Roman"/>
          <w:b/>
        </w:rPr>
      </w:pPr>
      <w:r w:rsidRPr="00C45EE6">
        <w:rPr>
          <w:rFonts w:ascii="Times New Roman" w:eastAsia="Calibri" w:hAnsi="Times New Roman"/>
          <w:b/>
        </w:rPr>
        <w:lastRenderedPageBreak/>
        <w:t xml:space="preserve">                                                                           Prilog 3</w:t>
      </w:r>
      <w:r w:rsidRPr="00C45EE6">
        <w:rPr>
          <w:rFonts w:ascii="Times New Roman" w:eastAsia="Calibri" w:hAnsi="Times New Roman"/>
          <w:b/>
        </w:rPr>
        <w:tab/>
      </w:r>
    </w:p>
    <w:p w14:paraId="7D7A3F29" w14:textId="77777777" w:rsidR="00C45EE6" w:rsidRPr="00C45EE6" w:rsidRDefault="00C45EE6" w:rsidP="00C45EE6">
      <w:pPr>
        <w:spacing w:after="0" w:line="240" w:lineRule="auto"/>
        <w:contextualSpacing/>
        <w:jc w:val="center"/>
        <w:rPr>
          <w:rFonts w:ascii="Times New Roman" w:eastAsia="Calibri" w:hAnsi="Times New Roman"/>
          <w:b/>
          <w:lang w:eastAsia="hr-HR"/>
        </w:rPr>
      </w:pPr>
      <w:r w:rsidRPr="00C45EE6">
        <w:rPr>
          <w:rFonts w:ascii="Times New Roman" w:eastAsia="Calibri" w:hAnsi="Times New Roman"/>
          <w:b/>
          <w:lang w:eastAsia="hr-HR"/>
        </w:rPr>
        <w:t xml:space="preserve">Nepravilnosti u kojima se određuje financijska korekcija – </w:t>
      </w:r>
    </w:p>
    <w:p w14:paraId="55D60B18" w14:textId="77777777" w:rsidR="00C45EE6" w:rsidRPr="00C45EE6" w:rsidRDefault="00C45EE6" w:rsidP="00C45EE6">
      <w:pPr>
        <w:spacing w:after="0" w:line="240" w:lineRule="auto"/>
        <w:contextualSpacing/>
        <w:jc w:val="center"/>
        <w:rPr>
          <w:rFonts w:ascii="Times New Roman" w:eastAsia="Calibri" w:hAnsi="Times New Roman"/>
          <w:sz w:val="20"/>
          <w:szCs w:val="20"/>
        </w:rPr>
      </w:pPr>
    </w:p>
    <w:p w14:paraId="0F7473A9" w14:textId="77777777" w:rsidR="00C45EE6" w:rsidRPr="00C45EE6" w:rsidRDefault="00C45EE6" w:rsidP="00C45EE6">
      <w:pPr>
        <w:spacing w:after="0" w:line="240" w:lineRule="auto"/>
        <w:contextualSpacing/>
        <w:jc w:val="center"/>
        <w:rPr>
          <w:rFonts w:ascii="Times New Roman" w:eastAsia="Calibri" w:hAnsi="Times New Roman"/>
          <w:b/>
          <w:lang w:eastAsia="hr-HR"/>
        </w:rPr>
      </w:pPr>
      <w:r w:rsidRPr="00C45EE6">
        <w:rPr>
          <w:rFonts w:ascii="Times New Roman" w:eastAsia="Calibri" w:hAnsi="Times New Roman"/>
          <w:b/>
          <w:lang w:eastAsia="hr-HR"/>
        </w:rPr>
        <w:t>nepravilnosti izuzev nepravilnosti u postupcima (javnih) nabava</w:t>
      </w:r>
      <w:r w:rsidRPr="00C45EE6">
        <w:rPr>
          <w:rFonts w:ascii="Times New Roman" w:eastAsia="Calibri" w:hAnsi="Times New Roman"/>
          <w:b/>
          <w:vertAlign w:val="superscript"/>
          <w:lang w:eastAsia="hr-HR"/>
        </w:rPr>
        <w:footnoteReference w:id="15"/>
      </w:r>
    </w:p>
    <w:p w14:paraId="0185C901" w14:textId="77777777" w:rsidR="00C45EE6" w:rsidRPr="00C45EE6" w:rsidRDefault="00C45EE6" w:rsidP="00C45EE6">
      <w:pPr>
        <w:spacing w:after="0" w:line="240" w:lineRule="auto"/>
        <w:contextualSpacing/>
        <w:rPr>
          <w:rFonts w:ascii="Times New Roman" w:eastAsia="Calibri" w:hAnsi="Times New Roman"/>
          <w:sz w:val="20"/>
          <w:szCs w:val="20"/>
        </w:rPr>
      </w:pPr>
    </w:p>
    <w:p w14:paraId="047CDE18" w14:textId="77777777" w:rsidR="00C45EE6" w:rsidRPr="00C45EE6" w:rsidRDefault="00C45EE6" w:rsidP="00C45EE6">
      <w:pPr>
        <w:spacing w:after="0" w:line="240" w:lineRule="auto"/>
        <w:contextualSpacing/>
        <w:jc w:val="both"/>
        <w:rPr>
          <w:rFonts w:ascii="Times New Roman" w:eastAsia="Calibri" w:hAnsi="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C45EE6" w:rsidRPr="00C45EE6" w14:paraId="2E05E871" w14:textId="77777777" w:rsidTr="00C30045">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560F112" w14:textId="77777777" w:rsidR="00C45EE6" w:rsidRPr="00C45EE6" w:rsidRDefault="00C45EE6" w:rsidP="00C45EE6">
            <w:pPr>
              <w:spacing w:after="0" w:line="240" w:lineRule="auto"/>
              <w:jc w:val="both"/>
              <w:rPr>
                <w:rFonts w:ascii="Times New Roman" w:eastAsia="Calibri" w:hAnsi="Times New Roman"/>
                <w:b/>
                <w:sz w:val="20"/>
                <w:szCs w:val="20"/>
              </w:rPr>
            </w:pPr>
            <w:r w:rsidRPr="00C45EE6">
              <w:rPr>
                <w:rFonts w:ascii="Times New Roman" w:eastAsia="Calibri" w:hAnsi="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330D2746" w14:textId="77777777" w:rsidR="00C45EE6" w:rsidRPr="00C45EE6" w:rsidRDefault="00C45EE6" w:rsidP="00C45EE6">
            <w:pPr>
              <w:spacing w:after="0" w:line="240" w:lineRule="auto"/>
              <w:jc w:val="both"/>
              <w:rPr>
                <w:rFonts w:ascii="Times New Roman" w:eastAsia="Calibri" w:hAnsi="Times New Roman"/>
                <w:b/>
                <w:sz w:val="20"/>
                <w:szCs w:val="20"/>
              </w:rPr>
            </w:pPr>
            <w:r w:rsidRPr="00C45EE6">
              <w:rPr>
                <w:rFonts w:ascii="Times New Roman" w:eastAsia="Calibri" w:hAnsi="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1AA879F4" w14:textId="77777777" w:rsidR="00C45EE6" w:rsidRPr="00C45EE6" w:rsidRDefault="00C45EE6" w:rsidP="00C45EE6">
            <w:pPr>
              <w:spacing w:after="0" w:line="240" w:lineRule="auto"/>
              <w:jc w:val="both"/>
              <w:rPr>
                <w:rFonts w:ascii="Times New Roman" w:eastAsia="Calibri" w:hAnsi="Times New Roman"/>
                <w:b/>
                <w:sz w:val="20"/>
                <w:szCs w:val="20"/>
              </w:rPr>
            </w:pPr>
            <w:r w:rsidRPr="00C45EE6">
              <w:rPr>
                <w:rFonts w:ascii="Times New Roman" w:eastAsia="Calibri" w:hAnsi="Times New Roman"/>
                <w:b/>
                <w:sz w:val="20"/>
                <w:szCs w:val="20"/>
              </w:rPr>
              <w:t>Opis / Primjeri</w:t>
            </w:r>
          </w:p>
          <w:p w14:paraId="4C5B5118" w14:textId="77777777" w:rsidR="00C45EE6" w:rsidRPr="00C45EE6" w:rsidRDefault="00C45EE6" w:rsidP="00C45EE6">
            <w:pPr>
              <w:spacing w:after="0" w:line="240" w:lineRule="auto"/>
              <w:jc w:val="both"/>
              <w:rPr>
                <w:rFonts w:ascii="Times New Roman" w:eastAsia="Calibri" w:hAnsi="Times New Roman"/>
                <w:b/>
                <w:sz w:val="20"/>
                <w:szCs w:val="20"/>
              </w:rPr>
            </w:pPr>
            <w:r w:rsidRPr="00C45EE6">
              <w:rPr>
                <w:rFonts w:ascii="Times New Roman" w:eastAsia="Calibri" w:hAnsi="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642DC2F" w14:textId="77777777" w:rsidR="00C45EE6" w:rsidRPr="00C45EE6" w:rsidRDefault="00C45EE6" w:rsidP="00C45EE6">
            <w:pPr>
              <w:spacing w:after="0" w:line="240" w:lineRule="auto"/>
              <w:jc w:val="both"/>
              <w:rPr>
                <w:rFonts w:ascii="Times New Roman" w:eastAsia="Calibri" w:hAnsi="Times New Roman"/>
                <w:b/>
                <w:sz w:val="20"/>
                <w:szCs w:val="20"/>
              </w:rPr>
            </w:pPr>
            <w:r w:rsidRPr="00C45EE6">
              <w:rPr>
                <w:rFonts w:ascii="Times New Roman" w:eastAsia="Calibri" w:hAnsi="Times New Roman"/>
                <w:b/>
                <w:sz w:val="20"/>
                <w:szCs w:val="20"/>
              </w:rPr>
              <w:t>Financijska korekcija</w:t>
            </w:r>
          </w:p>
        </w:tc>
      </w:tr>
      <w:tr w:rsidR="00C45EE6" w:rsidRPr="00C45EE6" w14:paraId="60FBAAE6" w14:textId="77777777" w:rsidTr="00C30045">
        <w:tc>
          <w:tcPr>
            <w:tcW w:w="496" w:type="pct"/>
            <w:tcBorders>
              <w:top w:val="single" w:sz="4" w:space="0" w:color="auto"/>
              <w:left w:val="single" w:sz="4" w:space="0" w:color="auto"/>
              <w:bottom w:val="single" w:sz="4" w:space="0" w:color="auto"/>
              <w:right w:val="single" w:sz="4" w:space="0" w:color="auto"/>
            </w:tcBorders>
            <w:vAlign w:val="center"/>
          </w:tcPr>
          <w:p w14:paraId="33B30A13" w14:textId="77777777" w:rsidR="00C45EE6" w:rsidRPr="00C45EE6" w:rsidRDefault="00C45EE6" w:rsidP="00C45EE6">
            <w:pPr>
              <w:spacing w:after="0" w:line="240" w:lineRule="auto"/>
              <w:ind w:left="157" w:hanging="123"/>
              <w:jc w:val="center"/>
              <w:rPr>
                <w:rFonts w:ascii="Times New Roman" w:eastAsia="Calibri" w:hAnsi="Times New Roman"/>
                <w:sz w:val="20"/>
                <w:szCs w:val="20"/>
              </w:rPr>
            </w:pPr>
            <w:r w:rsidRPr="00C45EE6">
              <w:rPr>
                <w:rFonts w:ascii="Times New Roman" w:eastAsia="Calibri" w:hAnsi="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7696384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7BF97FD6"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Prijevara je utvrđena na temelju pravomoćne/konačne odluke nadležnog pravosudnog tijela kojom je utvrđeno da je kazneno djelo povezano s projektnom.</w:t>
            </w:r>
          </w:p>
          <w:p w14:paraId="2DAA2DC1" w14:textId="77777777" w:rsidR="00C45EE6" w:rsidRPr="00C45EE6" w:rsidRDefault="00C45EE6" w:rsidP="00C45EE6">
            <w:pPr>
              <w:spacing w:before="240" w:after="24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74AA0613"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100% korekcija  </w:t>
            </w:r>
          </w:p>
          <w:p w14:paraId="39B7F340"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0A64E7B8" w14:textId="77777777" w:rsidTr="00C30045">
        <w:tc>
          <w:tcPr>
            <w:tcW w:w="496" w:type="pct"/>
            <w:tcBorders>
              <w:top w:val="single" w:sz="4" w:space="0" w:color="auto"/>
              <w:left w:val="single" w:sz="4" w:space="0" w:color="auto"/>
              <w:bottom w:val="single" w:sz="4" w:space="0" w:color="auto"/>
              <w:right w:val="single" w:sz="4" w:space="0" w:color="auto"/>
            </w:tcBorders>
            <w:vAlign w:val="center"/>
          </w:tcPr>
          <w:p w14:paraId="31D832CA" w14:textId="77777777" w:rsidR="00C45EE6" w:rsidRPr="00C45EE6" w:rsidRDefault="00C45EE6" w:rsidP="00C45EE6">
            <w:pPr>
              <w:spacing w:after="0" w:line="240" w:lineRule="auto"/>
              <w:ind w:left="567" w:hanging="533"/>
              <w:jc w:val="center"/>
              <w:rPr>
                <w:rFonts w:ascii="Times New Roman" w:eastAsia="Calibri" w:hAnsi="Times New Roman"/>
                <w:sz w:val="20"/>
                <w:szCs w:val="20"/>
              </w:rPr>
            </w:pPr>
            <w:r w:rsidRPr="00C45EE6">
              <w:rPr>
                <w:rFonts w:ascii="Times New Roman" w:eastAsia="Calibri" w:hAnsi="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4E21452D"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D67A85C" w14:textId="77777777" w:rsidR="00C45EE6" w:rsidRPr="00C45EE6" w:rsidRDefault="00C45EE6" w:rsidP="00C45EE6">
            <w:pPr>
              <w:tabs>
                <w:tab w:val="left" w:pos="2302"/>
              </w:tabs>
              <w:suppressAutoHyphens/>
              <w:snapToGrid w:val="0"/>
              <w:spacing w:after="0" w:line="240" w:lineRule="auto"/>
              <w:jc w:val="both"/>
              <w:rPr>
                <w:rFonts w:ascii="Times New Roman" w:hAnsi="Times New Roman"/>
                <w:sz w:val="20"/>
                <w:szCs w:val="20"/>
                <w:lang w:eastAsia="ar-SA"/>
              </w:rPr>
            </w:pPr>
            <w:r w:rsidRPr="00C45EE6">
              <w:rPr>
                <w:rFonts w:ascii="Times New Roman" w:eastAsia="Calibri" w:hAnsi="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3CB2C988" w14:textId="77777777" w:rsidR="00C45EE6" w:rsidRPr="00C45EE6" w:rsidRDefault="00C45EE6" w:rsidP="00C45EE6">
            <w:pPr>
              <w:spacing w:after="0" w:line="240" w:lineRule="auto"/>
              <w:jc w:val="both"/>
              <w:rPr>
                <w:rFonts w:ascii="Times New Roman" w:eastAsia="Calibri" w:hAnsi="Times New Roman"/>
                <w:bCs/>
                <w:sz w:val="20"/>
                <w:szCs w:val="20"/>
              </w:rPr>
            </w:pPr>
            <w:r w:rsidRPr="00C45EE6">
              <w:rPr>
                <w:rFonts w:ascii="Times New Roman" w:eastAsia="Calibri" w:hAnsi="Times New Roman"/>
                <w:bCs/>
                <w:sz w:val="20"/>
                <w:szCs w:val="20"/>
              </w:rPr>
              <w:t>100 % korekcija troška na koji se odnosi</w:t>
            </w:r>
          </w:p>
          <w:p w14:paraId="31EA46D7" w14:textId="77777777" w:rsidR="00C45EE6" w:rsidRPr="00C45EE6" w:rsidRDefault="00C45EE6" w:rsidP="00C45EE6">
            <w:pPr>
              <w:spacing w:after="0" w:line="240" w:lineRule="auto"/>
              <w:jc w:val="both"/>
              <w:rPr>
                <w:rFonts w:ascii="Times New Roman" w:eastAsia="Calibri" w:hAnsi="Times New Roman"/>
                <w:bCs/>
                <w:sz w:val="20"/>
                <w:szCs w:val="20"/>
              </w:rPr>
            </w:pPr>
          </w:p>
          <w:p w14:paraId="03AC772F"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bCs/>
                <w:sz w:val="20"/>
                <w:szCs w:val="20"/>
              </w:rPr>
              <w:t>Mogućnost smanjenja na 25% nakon procjene značaja i utjecaja nepravilnosti</w:t>
            </w:r>
          </w:p>
        </w:tc>
      </w:tr>
      <w:tr w:rsidR="00C45EE6" w:rsidRPr="00C45EE6" w14:paraId="74161D62" w14:textId="77777777" w:rsidTr="00C30045">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5C1A46AC" w14:textId="77777777" w:rsidR="00C45EE6" w:rsidRPr="00C45EE6" w:rsidRDefault="00C45EE6" w:rsidP="00C45EE6">
            <w:pPr>
              <w:spacing w:after="0" w:line="240" w:lineRule="auto"/>
              <w:ind w:left="567" w:hanging="249"/>
              <w:rPr>
                <w:rFonts w:ascii="Times New Roman" w:eastAsia="Calibri" w:hAnsi="Times New Roman"/>
                <w:sz w:val="20"/>
                <w:szCs w:val="20"/>
              </w:rPr>
            </w:pPr>
            <w:r w:rsidRPr="00C45EE6">
              <w:rPr>
                <w:rFonts w:ascii="Times New Roman" w:eastAsia="Calibri" w:hAnsi="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7716239A"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Planirani cilj projekta nije ostvaren</w:t>
            </w:r>
          </w:p>
          <w:p w14:paraId="2760B319" w14:textId="77777777" w:rsidR="00C45EE6" w:rsidRPr="00C45EE6" w:rsidRDefault="00C45EE6" w:rsidP="00C45EE6">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43C38C2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w:t>
            </w:r>
          </w:p>
          <w:p w14:paraId="3FE4148C" w14:textId="77777777" w:rsidR="00C45EE6" w:rsidRPr="00C45EE6" w:rsidRDefault="00C45EE6" w:rsidP="00C45EE6">
            <w:pPr>
              <w:spacing w:before="240" w:after="0" w:line="240" w:lineRule="auto"/>
              <w:jc w:val="both"/>
              <w:rPr>
                <w:rFonts w:ascii="Times New Roman" w:eastAsia="Calibri" w:hAnsi="Times New Roman"/>
                <w:sz w:val="20"/>
                <w:szCs w:val="20"/>
              </w:rPr>
            </w:pPr>
            <w:r w:rsidRPr="00C45EE6">
              <w:rPr>
                <w:rFonts w:ascii="Times New Roman" w:eastAsia="Calibri" w:hAnsi="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BF5260A" w14:textId="77777777" w:rsidR="00C45EE6" w:rsidRPr="00C45EE6" w:rsidRDefault="00C45EE6" w:rsidP="00C45EE6">
            <w:pPr>
              <w:spacing w:before="240" w:after="0" w:line="240" w:lineRule="auto"/>
              <w:jc w:val="both"/>
              <w:rPr>
                <w:rFonts w:ascii="Times New Roman" w:eastAsia="Calibri" w:hAnsi="Times New Roman"/>
                <w:sz w:val="20"/>
                <w:szCs w:val="20"/>
              </w:rPr>
            </w:pPr>
            <w:r w:rsidRPr="00C45EE6">
              <w:rPr>
                <w:rFonts w:ascii="Times New Roman" w:eastAsia="Calibri" w:hAnsi="Times New Roman"/>
                <w:sz w:val="20"/>
                <w:szCs w:val="20"/>
              </w:rPr>
              <w:t>2. Pokazatelj na razini ugovora o dodjeli bespovratnih sredstava nije ostvaren.</w:t>
            </w:r>
          </w:p>
          <w:p w14:paraId="76C105AD" w14:textId="77777777" w:rsidR="00C45EE6" w:rsidRPr="00C45EE6" w:rsidRDefault="00C45EE6" w:rsidP="00C45EE6">
            <w:pPr>
              <w:spacing w:after="0" w:line="240" w:lineRule="auto"/>
              <w:jc w:val="both"/>
              <w:rPr>
                <w:rFonts w:ascii="Times New Roman" w:eastAsia="Calibri" w:hAnsi="Times New Roman"/>
                <w:sz w:val="20"/>
                <w:szCs w:val="20"/>
              </w:rPr>
            </w:pPr>
          </w:p>
          <w:p w14:paraId="6603B8F4" w14:textId="77777777" w:rsidR="00C45EE6" w:rsidRPr="00C45EE6" w:rsidRDefault="00C45EE6" w:rsidP="00C45EE6">
            <w:pPr>
              <w:spacing w:before="240" w:after="0" w:line="240" w:lineRule="auto"/>
              <w:jc w:val="center"/>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7DB5344" w14:textId="77777777" w:rsidR="00C45EE6" w:rsidRPr="00C45EE6" w:rsidRDefault="00C45EE6" w:rsidP="00C45EE6">
            <w:pPr>
              <w:spacing w:after="0" w:line="240" w:lineRule="auto"/>
              <w:jc w:val="both"/>
              <w:rPr>
                <w:rFonts w:ascii="Times New Roman" w:eastAsia="Calibri" w:hAnsi="Times New Roman"/>
                <w:sz w:val="18"/>
                <w:szCs w:val="18"/>
              </w:rPr>
            </w:pPr>
            <w:r w:rsidRPr="00C45EE6">
              <w:rPr>
                <w:rFonts w:ascii="Times New Roman" w:eastAsia="Calibri" w:hAnsi="Times New Roman"/>
                <w:sz w:val="20"/>
                <w:szCs w:val="20"/>
              </w:rPr>
              <w:t xml:space="preserve">100% korekcija prihvatljivih troškova ugovora </w:t>
            </w:r>
          </w:p>
        </w:tc>
      </w:tr>
      <w:tr w:rsidR="00C45EE6" w:rsidRPr="00C45EE6" w14:paraId="63B1DE95" w14:textId="77777777" w:rsidTr="00C30045">
        <w:tc>
          <w:tcPr>
            <w:tcW w:w="496" w:type="pct"/>
            <w:tcBorders>
              <w:top w:val="single" w:sz="4" w:space="0" w:color="auto"/>
              <w:left w:val="single" w:sz="4" w:space="0" w:color="auto"/>
              <w:bottom w:val="single" w:sz="4" w:space="0" w:color="auto"/>
              <w:right w:val="single" w:sz="4" w:space="0" w:color="auto"/>
            </w:tcBorders>
            <w:vAlign w:val="center"/>
          </w:tcPr>
          <w:p w14:paraId="0F7235F6" w14:textId="77777777" w:rsidR="00C45EE6" w:rsidRPr="00C45EE6" w:rsidRDefault="00C45EE6" w:rsidP="00C45EE6">
            <w:pPr>
              <w:spacing w:after="0" w:line="240" w:lineRule="auto"/>
              <w:ind w:left="459" w:hanging="425"/>
              <w:jc w:val="center"/>
              <w:rPr>
                <w:rFonts w:ascii="Times New Roman" w:eastAsia="Calibri" w:hAnsi="Times New Roman"/>
                <w:sz w:val="20"/>
                <w:szCs w:val="20"/>
              </w:rPr>
            </w:pPr>
            <w:r w:rsidRPr="00C45EE6">
              <w:rPr>
                <w:rFonts w:ascii="Times New Roman" w:eastAsia="Calibri" w:hAnsi="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B8CCD8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53B464A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w:t>
            </w:r>
          </w:p>
          <w:p w14:paraId="4A85C9CF" w14:textId="77777777" w:rsidR="00C45EE6" w:rsidRPr="00C45EE6" w:rsidRDefault="00C45EE6" w:rsidP="00C45EE6">
            <w:pPr>
              <w:spacing w:after="0" w:line="240" w:lineRule="auto"/>
              <w:jc w:val="both"/>
              <w:rPr>
                <w:rFonts w:ascii="Times New Roman" w:eastAsia="Calibri" w:hAnsi="Times New Roman"/>
                <w:sz w:val="20"/>
                <w:szCs w:val="20"/>
              </w:rPr>
            </w:pPr>
          </w:p>
          <w:p w14:paraId="099BE91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3D48BCA4" w14:textId="77777777" w:rsidR="00C45EE6" w:rsidRPr="00C45EE6" w:rsidRDefault="00C45EE6" w:rsidP="00C45EE6">
            <w:pPr>
              <w:spacing w:before="240" w:after="0" w:line="240" w:lineRule="auto"/>
              <w:jc w:val="both"/>
              <w:rPr>
                <w:rFonts w:ascii="Times New Roman" w:eastAsia="Calibri" w:hAnsi="Times New Roman"/>
                <w:sz w:val="20"/>
                <w:szCs w:val="20"/>
              </w:rPr>
            </w:pPr>
            <w:r w:rsidRPr="00C45EE6">
              <w:rPr>
                <w:rFonts w:ascii="Times New Roman" w:eastAsia="Calibri" w:hAnsi="Times New Roman"/>
                <w:sz w:val="20"/>
                <w:szCs w:val="20"/>
              </w:rPr>
              <w:t>2. Pokazatelj na razini ugovora o dodjeli bespovratnih sredstava je djelomično ostvaren.</w:t>
            </w:r>
          </w:p>
          <w:p w14:paraId="2A79B167" w14:textId="77777777" w:rsidR="00C45EE6" w:rsidRPr="00C45EE6" w:rsidRDefault="00C45EE6" w:rsidP="00C45EE6">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19977D6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Paušalna financijska korekcija</w:t>
            </w:r>
          </w:p>
        </w:tc>
      </w:tr>
      <w:tr w:rsidR="00C45EE6" w:rsidRPr="00C45EE6" w14:paraId="58449B55" w14:textId="77777777" w:rsidTr="00C30045">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39B4ECFF" w14:textId="77777777" w:rsidR="00C45EE6" w:rsidRPr="00C45EE6" w:rsidRDefault="00C45EE6" w:rsidP="00C45EE6">
            <w:pPr>
              <w:spacing w:after="0" w:line="240" w:lineRule="auto"/>
              <w:jc w:val="center"/>
              <w:rPr>
                <w:rFonts w:ascii="Times New Roman" w:eastAsia="Calibri" w:hAnsi="Times New Roman"/>
                <w:sz w:val="20"/>
                <w:szCs w:val="20"/>
              </w:rPr>
            </w:pPr>
            <w:r w:rsidRPr="00C45EE6">
              <w:rPr>
                <w:rFonts w:ascii="Times New Roman" w:eastAsia="Calibri" w:hAnsi="Times New Roman"/>
                <w:sz w:val="20"/>
                <w:szCs w:val="20"/>
              </w:rPr>
              <w:t>5.</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CF4B79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Ne primjenjuju se zahtjevi trajnosti - projekt koji uključuje ulaganje u infrastrukturu ili proizvodno ulaganje je doživjela značajne modifikacije, kao što su:</w:t>
            </w:r>
          </w:p>
          <w:p w14:paraId="03333A1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(a) prestanak ili premještaj proizvodne aktivnosti izvan programskog područja, </w:t>
            </w:r>
          </w:p>
          <w:p w14:paraId="5F47C33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(b) promjena vlasništva nad predmetnom infrastrukturom čime se trgovačkom društvu ili javnom tijelu da je neopravdana prednost </w:t>
            </w:r>
          </w:p>
          <w:p w14:paraId="5F1A0148"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03B01D3F"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Primjeri:</w:t>
            </w:r>
          </w:p>
          <w:p w14:paraId="165EB78E" w14:textId="77777777" w:rsidR="00C45EE6" w:rsidRPr="00C45EE6" w:rsidRDefault="00C45EE6" w:rsidP="00C45EE6">
            <w:pPr>
              <w:spacing w:after="0" w:line="240" w:lineRule="auto"/>
              <w:jc w:val="both"/>
              <w:rPr>
                <w:rFonts w:ascii="Times New Roman" w:eastAsia="Calibri" w:hAnsi="Times New Roman"/>
                <w:sz w:val="20"/>
                <w:szCs w:val="20"/>
              </w:rPr>
            </w:pPr>
          </w:p>
          <w:p w14:paraId="4AB488D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Promjena vlasništva</w:t>
            </w:r>
          </w:p>
          <w:p w14:paraId="0AF39507"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3DA8E1FE" w14:textId="77777777" w:rsidR="00C45EE6" w:rsidRPr="00C45EE6" w:rsidRDefault="00C45EE6" w:rsidP="00C45EE6">
            <w:pPr>
              <w:spacing w:after="0" w:line="240" w:lineRule="auto"/>
              <w:jc w:val="both"/>
              <w:rPr>
                <w:rFonts w:ascii="Times New Roman" w:eastAsia="Calibri" w:hAnsi="Times New Roman"/>
                <w:sz w:val="20"/>
                <w:szCs w:val="20"/>
              </w:rPr>
            </w:pPr>
          </w:p>
          <w:p w14:paraId="12F2ACCF" w14:textId="77777777" w:rsidR="00C45EE6" w:rsidRPr="00C45EE6" w:rsidRDefault="00C45EE6" w:rsidP="00C45EE6">
            <w:pPr>
              <w:spacing w:after="0" w:line="240" w:lineRule="auto"/>
              <w:jc w:val="both"/>
              <w:rPr>
                <w:rFonts w:ascii="Times New Roman" w:eastAsia="Calibri" w:hAnsi="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02DC4B6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Povrat razmjerno u skladu s Općim uvjetima ugovora </w:t>
            </w:r>
          </w:p>
        </w:tc>
      </w:tr>
      <w:tr w:rsidR="00C45EE6" w:rsidRPr="00C45EE6" w14:paraId="3A155A31" w14:textId="77777777" w:rsidTr="00C30045">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5B07F694" w14:textId="77777777" w:rsidR="00C45EE6" w:rsidRPr="00C45EE6" w:rsidRDefault="00C45EE6" w:rsidP="00C45EE6">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B6F6B" w14:textId="77777777" w:rsidR="00C45EE6" w:rsidRPr="00C45EE6" w:rsidRDefault="00C45EE6" w:rsidP="00C45EE6">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0F3E4C0B"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3F7F240" w14:textId="77777777" w:rsidR="00C45EE6" w:rsidRPr="00C45EE6" w:rsidRDefault="00C45EE6" w:rsidP="00C45EE6">
            <w:pPr>
              <w:spacing w:after="0" w:line="240" w:lineRule="auto"/>
              <w:rPr>
                <w:rFonts w:ascii="Times New Roman" w:eastAsia="Calibri" w:hAnsi="Times New Roman"/>
                <w:sz w:val="20"/>
                <w:szCs w:val="20"/>
              </w:rPr>
            </w:pPr>
          </w:p>
        </w:tc>
      </w:tr>
      <w:tr w:rsidR="00C45EE6" w:rsidRPr="00C45EE6" w14:paraId="6A90A437" w14:textId="77777777" w:rsidTr="00C30045">
        <w:tc>
          <w:tcPr>
            <w:tcW w:w="496" w:type="pct"/>
            <w:vMerge/>
            <w:tcBorders>
              <w:top w:val="single" w:sz="4" w:space="0" w:color="auto"/>
              <w:left w:val="single" w:sz="4" w:space="0" w:color="auto"/>
              <w:bottom w:val="single" w:sz="4" w:space="0" w:color="auto"/>
              <w:right w:val="single" w:sz="4" w:space="0" w:color="auto"/>
            </w:tcBorders>
            <w:vAlign w:val="center"/>
            <w:hideMark/>
          </w:tcPr>
          <w:p w14:paraId="6031D494" w14:textId="77777777" w:rsidR="00C45EE6" w:rsidRPr="00C45EE6" w:rsidRDefault="00C45EE6" w:rsidP="00C45EE6">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5163E" w14:textId="77777777" w:rsidR="00C45EE6" w:rsidRPr="00C45EE6" w:rsidRDefault="00C45EE6" w:rsidP="00C45EE6">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823389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Uslijed prestanka poslovanja, odnosno likvidacije iz razloga koji nisu posljedica socio-ekonomskih, ili vanjski faktora ili više sile.</w:t>
            </w:r>
          </w:p>
          <w:p w14:paraId="6A3FD50C" w14:textId="77777777" w:rsidR="00C45EE6" w:rsidRPr="00C45EE6" w:rsidRDefault="00C45EE6" w:rsidP="00C45EE6">
            <w:pPr>
              <w:spacing w:after="0" w:line="240" w:lineRule="auto"/>
              <w:jc w:val="both"/>
              <w:rPr>
                <w:rFonts w:ascii="Times New Roman" w:eastAsia="Calibri" w:hAnsi="Times New Roman"/>
                <w:sz w:val="20"/>
                <w:szCs w:val="20"/>
              </w:rPr>
            </w:pPr>
          </w:p>
          <w:p w14:paraId="2DDD0A6C"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13E59BA4" w14:textId="77777777" w:rsidR="00C45EE6" w:rsidRPr="00C45EE6" w:rsidRDefault="00C45EE6" w:rsidP="00C45EE6">
            <w:pPr>
              <w:spacing w:after="0" w:line="240" w:lineRule="auto"/>
              <w:rPr>
                <w:rFonts w:ascii="Times New Roman" w:eastAsia="Calibri" w:hAnsi="Times New Roman"/>
                <w:sz w:val="20"/>
                <w:szCs w:val="20"/>
              </w:rPr>
            </w:pPr>
          </w:p>
        </w:tc>
      </w:tr>
      <w:tr w:rsidR="00C45EE6" w:rsidRPr="00C45EE6" w14:paraId="65AD7905" w14:textId="77777777" w:rsidTr="00C30045">
        <w:tc>
          <w:tcPr>
            <w:tcW w:w="496" w:type="pct"/>
            <w:vMerge/>
            <w:tcBorders>
              <w:top w:val="single" w:sz="4" w:space="0" w:color="auto"/>
              <w:left w:val="single" w:sz="4" w:space="0" w:color="auto"/>
              <w:bottom w:val="single" w:sz="4" w:space="0" w:color="auto"/>
              <w:right w:val="single" w:sz="4" w:space="0" w:color="auto"/>
            </w:tcBorders>
            <w:vAlign w:val="center"/>
            <w:hideMark/>
          </w:tcPr>
          <w:p w14:paraId="49F8B051" w14:textId="77777777" w:rsidR="00C45EE6" w:rsidRPr="00C45EE6" w:rsidRDefault="00C45EE6" w:rsidP="00C45EE6">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0E133" w14:textId="77777777" w:rsidR="00C45EE6" w:rsidRPr="00C45EE6" w:rsidRDefault="00C45EE6" w:rsidP="00C45EE6">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251C503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Prodaja infrastrukturnih dijelova </w:t>
            </w:r>
          </w:p>
          <w:p w14:paraId="4A3D72DE"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C45EE6">
              <w:rPr>
                <w:rFonts w:ascii="Times New Roman" w:hAnsi="Times New Roman"/>
                <w:sz w:val="20"/>
                <w:szCs w:val="20"/>
                <w:lang w:eastAsia="hr-HR"/>
              </w:rPr>
              <w:t>projekta</w:t>
            </w:r>
            <w:r w:rsidRPr="00C45EE6">
              <w:rPr>
                <w:rFonts w:ascii="Times New Roman" w:eastAsia="Calibri" w:hAnsi="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326C8D4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Jednostavna korekcija -  odbijanje neprihvatljivog troška</w:t>
            </w:r>
          </w:p>
          <w:p w14:paraId="0974ECCF"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2788F822" w14:textId="77777777" w:rsidTr="00C30045">
        <w:tc>
          <w:tcPr>
            <w:tcW w:w="496" w:type="pct"/>
            <w:tcBorders>
              <w:top w:val="single" w:sz="4" w:space="0" w:color="auto"/>
              <w:left w:val="single" w:sz="4" w:space="0" w:color="auto"/>
              <w:bottom w:val="single" w:sz="4" w:space="0" w:color="auto"/>
              <w:right w:val="single" w:sz="4" w:space="0" w:color="auto"/>
            </w:tcBorders>
            <w:vAlign w:val="center"/>
          </w:tcPr>
          <w:p w14:paraId="4B089B05" w14:textId="77777777" w:rsidR="00C45EE6" w:rsidRPr="00C45EE6" w:rsidRDefault="00C45EE6" w:rsidP="00C45EE6">
            <w:pPr>
              <w:spacing w:after="0" w:line="240" w:lineRule="auto"/>
              <w:ind w:left="720"/>
              <w:jc w:val="both"/>
              <w:rPr>
                <w:rFonts w:ascii="Times New Roman" w:eastAsia="Calibri" w:hAnsi="Times New Roman"/>
                <w:sz w:val="20"/>
                <w:szCs w:val="20"/>
              </w:rPr>
            </w:pPr>
          </w:p>
          <w:p w14:paraId="242FDF5E" w14:textId="77777777" w:rsidR="00C45EE6" w:rsidRPr="00C45EE6" w:rsidRDefault="00C45EE6" w:rsidP="00C45EE6">
            <w:pPr>
              <w:spacing w:before="240" w:after="240" w:line="240" w:lineRule="auto"/>
              <w:jc w:val="center"/>
              <w:rPr>
                <w:rFonts w:ascii="Times New Roman" w:eastAsia="Calibri" w:hAnsi="Times New Roman"/>
                <w:sz w:val="20"/>
                <w:szCs w:val="20"/>
              </w:rPr>
            </w:pPr>
            <w:r w:rsidRPr="00C45EE6">
              <w:rPr>
                <w:rFonts w:ascii="Times New Roman" w:eastAsia="Calibri" w:hAnsi="Times New Roman"/>
                <w:sz w:val="20"/>
                <w:szCs w:val="20"/>
              </w:rPr>
              <w:t>6.</w:t>
            </w:r>
          </w:p>
        </w:tc>
        <w:tc>
          <w:tcPr>
            <w:tcW w:w="899" w:type="pct"/>
            <w:tcBorders>
              <w:top w:val="single" w:sz="4" w:space="0" w:color="auto"/>
              <w:left w:val="single" w:sz="4" w:space="0" w:color="auto"/>
              <w:bottom w:val="single" w:sz="4" w:space="0" w:color="auto"/>
              <w:right w:val="single" w:sz="4" w:space="0" w:color="auto"/>
            </w:tcBorders>
            <w:hideMark/>
          </w:tcPr>
          <w:p w14:paraId="5B98D6BD"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1172F657" w14:textId="77777777" w:rsidR="00C45EE6" w:rsidRPr="00C45EE6" w:rsidRDefault="00C45EE6" w:rsidP="00C45EE6">
            <w:pPr>
              <w:spacing w:after="0" w:line="240" w:lineRule="auto"/>
              <w:jc w:val="both"/>
              <w:rPr>
                <w:rFonts w:ascii="Times New Roman" w:eastAsia="Calibri" w:hAnsi="Times New Roman"/>
                <w:sz w:val="20"/>
                <w:szCs w:val="20"/>
                <w:lang w:eastAsia="ar-SA"/>
              </w:rPr>
            </w:pPr>
            <w:r w:rsidRPr="00C45EE6">
              <w:rPr>
                <w:rFonts w:ascii="Times New Roman" w:eastAsia="Calibri" w:hAnsi="Times New Roman"/>
                <w:sz w:val="20"/>
                <w:szCs w:val="20"/>
                <w:lang w:eastAsia="ar-SA"/>
              </w:rPr>
              <w:t>Nepravilnosti povezene s povredom pravila vezanih uz mjere informiranja i komunikacije:</w:t>
            </w:r>
          </w:p>
          <w:p w14:paraId="02612DBE" w14:textId="77777777" w:rsidR="00C45EE6" w:rsidRPr="00C45EE6" w:rsidRDefault="00C45EE6" w:rsidP="00C45EE6">
            <w:pPr>
              <w:spacing w:before="240" w:after="240" w:line="240" w:lineRule="auto"/>
              <w:jc w:val="both"/>
              <w:rPr>
                <w:rFonts w:ascii="Times New Roman" w:eastAsia="Calibri" w:hAnsi="Times New Roman"/>
                <w:sz w:val="20"/>
                <w:szCs w:val="20"/>
                <w:lang w:eastAsia="ar-SA"/>
              </w:rPr>
            </w:pPr>
            <w:r w:rsidRPr="00C45EE6">
              <w:rPr>
                <w:rFonts w:ascii="Times New Roman" w:eastAsia="Calibri" w:hAnsi="Times New Roman"/>
                <w:sz w:val="20"/>
                <w:szCs w:val="20"/>
                <w:lang w:eastAsia="ar-SA"/>
              </w:rPr>
              <w:t>1.</w:t>
            </w:r>
            <w:r w:rsidRPr="00C45EE6">
              <w:rPr>
                <w:rFonts w:ascii="Times New Roman" w:eastAsia="Calibri" w:hAnsi="Times New Roman"/>
                <w:sz w:val="20"/>
                <w:szCs w:val="20"/>
                <w:lang w:eastAsia="ar-SA"/>
              </w:rPr>
              <w:tab/>
              <w:t xml:space="preserve"> Nepostojanje propisanog osnovnog elemenata vidljivosti (Amblem (zastavica) Unije i tekst „Europska unija“) kod promidžbenih materijala ili pripreme i provedbe komunikacijskih aktivnosti -  </w:t>
            </w:r>
            <w:r w:rsidRPr="00C45EE6">
              <w:rPr>
                <w:rFonts w:ascii="Times New Roman" w:eastAsia="Calibri" w:hAnsi="Times New Roman"/>
                <w:sz w:val="20"/>
                <w:szCs w:val="20"/>
                <w:lang w:eastAsia="ar-SA"/>
              </w:rPr>
              <w:lastRenderedPageBreak/>
              <w:t>100% troška izrade materijala ili pripreme i provedbe aktivnosti</w:t>
            </w:r>
          </w:p>
          <w:p w14:paraId="65248619" w14:textId="77777777" w:rsidR="00C45EE6" w:rsidRPr="00C45EE6" w:rsidRDefault="00C45EE6" w:rsidP="00C45EE6">
            <w:pPr>
              <w:spacing w:before="240" w:after="240" w:line="240" w:lineRule="auto"/>
              <w:jc w:val="both"/>
              <w:rPr>
                <w:rFonts w:ascii="Times New Roman" w:eastAsia="Calibri" w:hAnsi="Times New Roman"/>
                <w:sz w:val="20"/>
                <w:szCs w:val="20"/>
                <w:lang w:eastAsia="ar-SA"/>
              </w:rPr>
            </w:pPr>
            <w:r w:rsidRPr="00C45EE6">
              <w:rPr>
                <w:rFonts w:ascii="Times New Roman" w:eastAsia="Calibri" w:hAnsi="Times New Roman"/>
                <w:sz w:val="20"/>
                <w:szCs w:val="20"/>
                <w:lang w:eastAsia="ar-SA"/>
              </w:rPr>
              <w:t>2.</w:t>
            </w:r>
            <w:r w:rsidRPr="00C45EE6">
              <w:rPr>
                <w:rFonts w:ascii="Times New Roman" w:eastAsia="Calibri" w:hAnsi="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45395024" w14:textId="77777777" w:rsidR="00C45EE6" w:rsidRPr="00C45EE6" w:rsidRDefault="00C45EE6" w:rsidP="00C45EE6">
            <w:pPr>
              <w:spacing w:before="240" w:after="240" w:line="240" w:lineRule="auto"/>
              <w:jc w:val="both"/>
              <w:rPr>
                <w:rFonts w:ascii="Times New Roman" w:eastAsia="Calibri" w:hAnsi="Times New Roman"/>
                <w:sz w:val="20"/>
                <w:szCs w:val="20"/>
                <w:lang w:eastAsia="ar-SA"/>
              </w:rPr>
            </w:pPr>
            <w:r w:rsidRPr="00C45EE6">
              <w:rPr>
                <w:rFonts w:ascii="Times New Roman" w:eastAsia="Calibri" w:hAnsi="Times New Roman"/>
                <w:sz w:val="20"/>
                <w:szCs w:val="20"/>
                <w:lang w:eastAsia="ar-SA"/>
              </w:rPr>
              <w:t>3.</w:t>
            </w:r>
            <w:r w:rsidRPr="00C45EE6">
              <w:rPr>
                <w:rFonts w:ascii="Times New Roman" w:eastAsia="Calibri" w:hAnsi="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42C44481" w14:textId="77777777" w:rsidR="00C45EE6" w:rsidRPr="00C45EE6" w:rsidRDefault="00C45EE6" w:rsidP="00C45EE6">
            <w:pPr>
              <w:spacing w:before="240" w:after="240" w:line="240" w:lineRule="auto"/>
              <w:jc w:val="both"/>
              <w:rPr>
                <w:rFonts w:ascii="Times New Roman" w:eastAsia="Calibri" w:hAnsi="Times New Roman"/>
                <w:sz w:val="20"/>
                <w:szCs w:val="20"/>
              </w:rPr>
            </w:pPr>
            <w:r w:rsidRPr="00C45EE6">
              <w:rPr>
                <w:rFonts w:ascii="Times New Roman" w:eastAsia="Calibri" w:hAnsi="Times New Roman"/>
                <w:sz w:val="20"/>
                <w:szCs w:val="20"/>
                <w:lang w:eastAsia="ar-SA"/>
              </w:rPr>
              <w:t>4. Naplatno oglašavanje u medijima:</w:t>
            </w:r>
          </w:p>
          <w:p w14:paraId="7E84D104" w14:textId="77777777" w:rsidR="00C45EE6" w:rsidRPr="00C45EE6" w:rsidRDefault="00C45EE6" w:rsidP="00C45EE6">
            <w:pPr>
              <w:numPr>
                <w:ilvl w:val="0"/>
                <w:numId w:val="8"/>
              </w:numPr>
              <w:spacing w:before="240" w:after="0" w:line="256"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48538395" w14:textId="77777777" w:rsidR="00C45EE6" w:rsidRPr="00C45EE6" w:rsidRDefault="00C45EE6" w:rsidP="00C45EE6">
            <w:pPr>
              <w:numPr>
                <w:ilvl w:val="0"/>
                <w:numId w:val="8"/>
              </w:numPr>
              <w:spacing w:before="240" w:after="0" w:line="256" w:lineRule="auto"/>
              <w:contextualSpacing/>
              <w:jc w:val="both"/>
              <w:rPr>
                <w:rFonts w:ascii="Times New Roman" w:eastAsia="Calibri" w:hAnsi="Times New Roman"/>
                <w:sz w:val="20"/>
                <w:szCs w:val="20"/>
              </w:rPr>
            </w:pPr>
            <w:r w:rsidRPr="00C45EE6">
              <w:rPr>
                <w:rFonts w:ascii="Times New Roman" w:eastAsia="Calibri" w:hAnsi="Times New Roman"/>
                <w:sz w:val="20"/>
                <w:szCs w:val="20"/>
              </w:rPr>
              <w:t>u slučaju besplatnog oglašavanja u medijima, financijska korekcija se ne primjenjuje.</w:t>
            </w:r>
          </w:p>
          <w:p w14:paraId="46EBD228" w14:textId="77777777" w:rsidR="00C45EE6" w:rsidRPr="00C45EE6" w:rsidRDefault="00C45EE6" w:rsidP="00C45EE6">
            <w:pPr>
              <w:spacing w:after="0" w:line="240" w:lineRule="auto"/>
              <w:ind w:left="360"/>
              <w:jc w:val="both"/>
              <w:rPr>
                <w:rFonts w:ascii="Times New Roman" w:eastAsia="Calibri" w:hAnsi="Times New Roman"/>
                <w:sz w:val="20"/>
                <w:szCs w:val="20"/>
              </w:rPr>
            </w:pPr>
          </w:p>
          <w:p w14:paraId="5FEA190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Manji promidžbeni materijali kao npr. olovke, penkala i dr. ne maju osnovne elemente vidljivosti (amblem (zastavica) Unije i tekst Europska unija); dok se na npr. šalice i kišobrane stavljaju oznake vidljivosti (primjenjuje se 2%-tna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32CE185A"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 xml:space="preserve">Kako je navedeno u koloni 3. </w:t>
            </w:r>
          </w:p>
        </w:tc>
      </w:tr>
      <w:tr w:rsidR="00C45EE6" w:rsidRPr="00C45EE6" w14:paraId="5BF55571" w14:textId="77777777" w:rsidTr="00C30045">
        <w:tc>
          <w:tcPr>
            <w:tcW w:w="496" w:type="pct"/>
            <w:tcBorders>
              <w:top w:val="single" w:sz="4" w:space="0" w:color="auto"/>
              <w:left w:val="single" w:sz="4" w:space="0" w:color="auto"/>
              <w:bottom w:val="single" w:sz="4" w:space="0" w:color="auto"/>
              <w:right w:val="single" w:sz="4" w:space="0" w:color="auto"/>
            </w:tcBorders>
            <w:vAlign w:val="center"/>
            <w:hideMark/>
          </w:tcPr>
          <w:p w14:paraId="4CA3F61C" w14:textId="77777777" w:rsidR="00C45EE6" w:rsidRPr="00C45EE6" w:rsidRDefault="00C45EE6" w:rsidP="00C45EE6">
            <w:pPr>
              <w:spacing w:after="0" w:line="240" w:lineRule="auto"/>
              <w:jc w:val="center"/>
              <w:rPr>
                <w:rFonts w:ascii="Times New Roman" w:eastAsia="Calibri" w:hAnsi="Times New Roman"/>
                <w:sz w:val="20"/>
                <w:szCs w:val="20"/>
              </w:rPr>
            </w:pPr>
            <w:r w:rsidRPr="00C45EE6">
              <w:rPr>
                <w:rFonts w:ascii="Times New Roman" w:eastAsia="Calibri" w:hAnsi="Times New Roman"/>
                <w:sz w:val="20"/>
                <w:szCs w:val="20"/>
              </w:rPr>
              <w:t>7.</w:t>
            </w:r>
          </w:p>
        </w:tc>
        <w:tc>
          <w:tcPr>
            <w:tcW w:w="899" w:type="pct"/>
            <w:tcBorders>
              <w:top w:val="single" w:sz="4" w:space="0" w:color="auto"/>
              <w:left w:val="single" w:sz="4" w:space="0" w:color="auto"/>
              <w:bottom w:val="single" w:sz="4" w:space="0" w:color="auto"/>
              <w:right w:val="single" w:sz="4" w:space="0" w:color="auto"/>
            </w:tcBorders>
            <w:hideMark/>
          </w:tcPr>
          <w:p w14:paraId="49256E2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3BFEDFA6" w14:textId="77777777" w:rsidR="00C45EE6" w:rsidRPr="00C45EE6" w:rsidRDefault="00C45EE6" w:rsidP="00C45EE6">
            <w:pPr>
              <w:tabs>
                <w:tab w:val="left" w:pos="0"/>
                <w:tab w:val="left" w:pos="2302"/>
              </w:tabs>
              <w:suppressAutoHyphens/>
              <w:snapToGrid w:val="0"/>
              <w:spacing w:after="0" w:line="240" w:lineRule="auto"/>
              <w:jc w:val="both"/>
              <w:rPr>
                <w:rFonts w:ascii="Times New Roman" w:hAnsi="Times New Roman"/>
                <w:sz w:val="20"/>
                <w:szCs w:val="20"/>
                <w:lang w:eastAsia="ar-SA"/>
              </w:rPr>
            </w:pPr>
            <w:r w:rsidRPr="00C45EE6">
              <w:rPr>
                <w:rFonts w:ascii="Times New Roman" w:hAnsi="Times New Roman"/>
                <w:sz w:val="20"/>
                <w:szCs w:val="20"/>
                <w:lang w:eastAsia="ar-SA"/>
              </w:rPr>
              <w:t>Projekt ili dio projekta je “dvostruko financiran” tj. financirao je i iz drugih izvora. Iznos koji je dvostruko financiran se isključuje iz prihvatljivih izdataka</w:t>
            </w:r>
          </w:p>
          <w:p w14:paraId="3BD6C037" w14:textId="77777777" w:rsidR="00C45EE6" w:rsidRPr="00C45EE6" w:rsidRDefault="00C45EE6" w:rsidP="00C45EE6">
            <w:pPr>
              <w:tabs>
                <w:tab w:val="left" w:pos="0"/>
                <w:tab w:val="left" w:pos="2302"/>
              </w:tabs>
              <w:suppressAutoHyphens/>
              <w:snapToGrid w:val="0"/>
              <w:spacing w:after="0" w:line="240" w:lineRule="auto"/>
              <w:jc w:val="both"/>
              <w:rPr>
                <w:rFonts w:ascii="Times New Roman" w:hAnsi="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3898E0D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Pojedinačno izračunata korekcija</w:t>
            </w:r>
          </w:p>
        </w:tc>
      </w:tr>
      <w:tr w:rsidR="00C45EE6" w:rsidRPr="00C45EE6" w14:paraId="2EDBDF0F" w14:textId="77777777" w:rsidTr="00C30045">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6DDBADA2" w14:textId="77777777" w:rsidR="00C45EE6" w:rsidRPr="00C45EE6" w:rsidRDefault="00C45EE6" w:rsidP="00C45EE6">
            <w:pPr>
              <w:spacing w:after="0" w:line="240" w:lineRule="auto"/>
              <w:jc w:val="center"/>
              <w:rPr>
                <w:rFonts w:ascii="Times New Roman" w:eastAsia="Calibri" w:hAnsi="Times New Roman"/>
                <w:sz w:val="20"/>
                <w:szCs w:val="20"/>
              </w:rPr>
            </w:pPr>
            <w:r w:rsidRPr="00C45EE6">
              <w:rPr>
                <w:rFonts w:ascii="Times New Roman" w:eastAsia="Calibri" w:hAnsi="Times New Roman"/>
                <w:sz w:val="20"/>
                <w:szCs w:val="20"/>
              </w:rPr>
              <w:t>8.</w:t>
            </w:r>
          </w:p>
        </w:tc>
        <w:tc>
          <w:tcPr>
            <w:tcW w:w="899" w:type="pct"/>
            <w:vMerge w:val="restart"/>
            <w:tcBorders>
              <w:top w:val="single" w:sz="4" w:space="0" w:color="auto"/>
              <w:left w:val="single" w:sz="4" w:space="0" w:color="auto"/>
              <w:bottom w:val="single" w:sz="4" w:space="0" w:color="auto"/>
              <w:right w:val="single" w:sz="4" w:space="0" w:color="auto"/>
            </w:tcBorders>
            <w:hideMark/>
          </w:tcPr>
          <w:p w14:paraId="1FA11B0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Pravila o pojednostavljenim mogućnostima financiranja su</w:t>
            </w:r>
          </w:p>
          <w:p w14:paraId="0296F36D"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nepravilno primijenjena</w:t>
            </w:r>
          </w:p>
        </w:tc>
        <w:tc>
          <w:tcPr>
            <w:tcW w:w="2370" w:type="pct"/>
            <w:tcBorders>
              <w:top w:val="single" w:sz="4" w:space="0" w:color="auto"/>
              <w:left w:val="single" w:sz="4" w:space="0" w:color="auto"/>
              <w:bottom w:val="single" w:sz="4" w:space="0" w:color="auto"/>
              <w:right w:val="single" w:sz="4" w:space="0" w:color="auto"/>
            </w:tcBorders>
          </w:tcPr>
          <w:p w14:paraId="7405573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1. Paušalni iznos financiranja za indirektne troškove i troškove osoblja</w:t>
            </w:r>
          </w:p>
          <w:p w14:paraId="0BEECE4B" w14:textId="77777777" w:rsidR="00C45EE6" w:rsidRPr="00C45EE6" w:rsidRDefault="00C45EE6" w:rsidP="00C45EE6">
            <w:pPr>
              <w:spacing w:after="0" w:line="240" w:lineRule="auto"/>
              <w:jc w:val="both"/>
              <w:rPr>
                <w:rFonts w:ascii="Times New Roman" w:eastAsia="Calibri" w:hAnsi="Times New Roman"/>
                <w:sz w:val="20"/>
                <w:szCs w:val="20"/>
              </w:rPr>
            </w:pPr>
          </w:p>
          <w:p w14:paraId="636CD568"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6143DF87"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03E33BB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Formula: proporcionalna korekcija (razlika koja nastaje nakon ponovnog izračuna)</w:t>
            </w:r>
          </w:p>
          <w:p w14:paraId="3F760CF5"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747C25EA" w14:textId="77777777" w:rsidTr="00C30045">
        <w:tc>
          <w:tcPr>
            <w:tcW w:w="496" w:type="pct"/>
            <w:vMerge/>
            <w:tcBorders>
              <w:top w:val="single" w:sz="4" w:space="0" w:color="auto"/>
              <w:left w:val="single" w:sz="4" w:space="0" w:color="auto"/>
              <w:bottom w:val="single" w:sz="4" w:space="0" w:color="auto"/>
              <w:right w:val="single" w:sz="4" w:space="0" w:color="auto"/>
            </w:tcBorders>
            <w:vAlign w:val="center"/>
            <w:hideMark/>
          </w:tcPr>
          <w:p w14:paraId="440903F0" w14:textId="77777777" w:rsidR="00C45EE6" w:rsidRPr="00C45EE6" w:rsidRDefault="00C45EE6" w:rsidP="00C45EE6">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8DE96" w14:textId="77777777" w:rsidR="00C45EE6" w:rsidRPr="00C45EE6" w:rsidRDefault="00C45EE6" w:rsidP="00C45EE6">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AFF683"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2. Paušalni iznosi</w:t>
            </w:r>
          </w:p>
          <w:p w14:paraId="6190C725" w14:textId="77777777" w:rsidR="00C45EE6" w:rsidRPr="00C45EE6" w:rsidRDefault="00C45EE6" w:rsidP="00C45EE6">
            <w:pPr>
              <w:spacing w:after="0" w:line="240" w:lineRule="auto"/>
              <w:jc w:val="both"/>
              <w:rPr>
                <w:rFonts w:ascii="Times New Roman" w:eastAsia="Calibri" w:hAnsi="Times New Roman"/>
                <w:sz w:val="20"/>
                <w:szCs w:val="20"/>
              </w:rPr>
            </w:pPr>
          </w:p>
          <w:p w14:paraId="0A34C23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slučaju utvrđene nepravilnost u odnosu na obračun i primjenu paušalnog iznosa, financijska korekcija računa se na sljedeći način:</w:t>
            </w:r>
          </w:p>
          <w:p w14:paraId="250A8CEC" w14:textId="77777777" w:rsidR="00C45EE6" w:rsidRPr="00C45EE6" w:rsidRDefault="00C45EE6" w:rsidP="00C45EE6">
            <w:pPr>
              <w:spacing w:after="0" w:line="240" w:lineRule="auto"/>
              <w:jc w:val="both"/>
              <w:rPr>
                <w:rFonts w:ascii="Times New Roman" w:eastAsia="Calibri" w:hAnsi="Times New Roman"/>
                <w:sz w:val="20"/>
                <w:szCs w:val="20"/>
              </w:rPr>
            </w:pPr>
          </w:p>
          <w:p w14:paraId="20CCF947"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1.</w:t>
            </w:r>
          </w:p>
          <w:p w14:paraId="7283CD77" w14:textId="77777777" w:rsidR="00C45EE6" w:rsidRPr="00C45EE6" w:rsidRDefault="00C45EE6" w:rsidP="00C45EE6">
            <w:pPr>
              <w:spacing w:after="0" w:line="240" w:lineRule="auto"/>
              <w:jc w:val="both"/>
              <w:rPr>
                <w:rFonts w:ascii="Times New Roman" w:eastAsia="Calibri" w:hAnsi="Times New Roman"/>
                <w:sz w:val="20"/>
                <w:szCs w:val="20"/>
              </w:rPr>
            </w:pPr>
          </w:p>
          <w:p w14:paraId="456E42AB"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Paušalni iznos se računa tako da se zbraja najam prostora i opreme, troškovi ispisa i materijala što iznosi 100.000 kuna. </w:t>
            </w:r>
          </w:p>
          <w:p w14:paraId="32007E7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57FFE3EF" w14:textId="77777777" w:rsidR="00C45EE6" w:rsidRPr="00C45EE6" w:rsidRDefault="00C45EE6" w:rsidP="00C45EE6">
            <w:pPr>
              <w:spacing w:after="0" w:line="240" w:lineRule="auto"/>
              <w:jc w:val="both"/>
              <w:rPr>
                <w:rFonts w:ascii="Times New Roman" w:eastAsia="Calibri" w:hAnsi="Times New Roman"/>
                <w:sz w:val="20"/>
                <w:szCs w:val="20"/>
              </w:rPr>
            </w:pPr>
          </w:p>
          <w:p w14:paraId="0ED81FB8"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2.</w:t>
            </w:r>
          </w:p>
          <w:p w14:paraId="14458BCC" w14:textId="77777777" w:rsidR="00C45EE6" w:rsidRPr="00C45EE6" w:rsidRDefault="00C45EE6" w:rsidP="00C45EE6">
            <w:pPr>
              <w:spacing w:after="0" w:line="240" w:lineRule="auto"/>
              <w:jc w:val="both"/>
              <w:rPr>
                <w:rFonts w:ascii="Times New Roman" w:eastAsia="Calibri" w:hAnsi="Times New Roman"/>
                <w:sz w:val="20"/>
                <w:szCs w:val="20"/>
              </w:rPr>
            </w:pPr>
          </w:p>
          <w:p w14:paraId="4B10BC3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5C108EA6" w14:textId="77777777" w:rsidR="00C45EE6" w:rsidRPr="00C45EE6" w:rsidRDefault="00C45EE6" w:rsidP="00C45EE6">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3D50E6"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100% </w:t>
            </w:r>
          </w:p>
          <w:p w14:paraId="05552BD3"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ili</w:t>
            </w:r>
          </w:p>
          <w:p w14:paraId="2F7EEDD6"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proporcionalna korekcija (razlika koja nastaje nakon ponovnog izračuna)</w:t>
            </w:r>
          </w:p>
          <w:p w14:paraId="3376ED58"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13214DB5" w14:textId="77777777" w:rsidTr="00C30045">
        <w:tc>
          <w:tcPr>
            <w:tcW w:w="496" w:type="pct"/>
            <w:vMerge/>
            <w:tcBorders>
              <w:top w:val="single" w:sz="4" w:space="0" w:color="auto"/>
              <w:left w:val="single" w:sz="4" w:space="0" w:color="auto"/>
              <w:bottom w:val="single" w:sz="4" w:space="0" w:color="auto"/>
              <w:right w:val="single" w:sz="4" w:space="0" w:color="auto"/>
            </w:tcBorders>
            <w:vAlign w:val="center"/>
            <w:hideMark/>
          </w:tcPr>
          <w:p w14:paraId="59C77B81" w14:textId="77777777" w:rsidR="00C45EE6" w:rsidRPr="00C45EE6" w:rsidRDefault="00C45EE6" w:rsidP="00C45EE6">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9DEE6" w14:textId="77777777" w:rsidR="00C45EE6" w:rsidRPr="00C45EE6" w:rsidRDefault="00C45EE6" w:rsidP="00C45EE6">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454911F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3. Standardne skale jediničnih troškova</w:t>
            </w:r>
          </w:p>
          <w:p w14:paraId="1F442174" w14:textId="77777777" w:rsidR="00C45EE6" w:rsidRPr="00C45EE6" w:rsidRDefault="00C45EE6" w:rsidP="00C45EE6">
            <w:pPr>
              <w:spacing w:after="0" w:line="240" w:lineRule="auto"/>
              <w:ind w:left="360"/>
              <w:contextualSpacing/>
              <w:jc w:val="both"/>
              <w:rPr>
                <w:rFonts w:ascii="Times New Roman" w:eastAsia="Calibri" w:hAnsi="Times New Roman"/>
                <w:sz w:val="20"/>
                <w:szCs w:val="20"/>
              </w:rPr>
            </w:pPr>
          </w:p>
          <w:p w14:paraId="13C4335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Financijska korekcija se obračunava kako slijedi:</w:t>
            </w:r>
          </w:p>
          <w:p w14:paraId="68F3308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549A9326"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w:t>
            </w:r>
          </w:p>
          <w:p w14:paraId="490BF14B"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6A34B7F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03816F66"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p w14:paraId="179B3D2D"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Provjerom nadležnog tijela utvrđeno je da je 80 osoba educirano u punom vremenu, 10 osoba je pohađalo samo 100 sati edukacije, dok 10 osoba uopće nije pohađalo edukaciju.</w:t>
            </w:r>
          </w:p>
          <w:p w14:paraId="3986A5C3"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Financijska korekcija se izračunava kako slijedi: 2.000.000 – (80*200*100 + 10*100*100) = 300.000 HRK</w:t>
            </w:r>
          </w:p>
          <w:p w14:paraId="7D920F70"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6767479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Proporcionalna korekcija (razlika koja nastaje nakon ponovnog izračuna)</w:t>
            </w:r>
          </w:p>
          <w:p w14:paraId="0031D767" w14:textId="77777777" w:rsidR="00C45EE6" w:rsidRPr="00C45EE6" w:rsidRDefault="00C45EE6" w:rsidP="00C45EE6">
            <w:pPr>
              <w:autoSpaceDE w:val="0"/>
              <w:autoSpaceDN w:val="0"/>
              <w:adjustRightInd w:val="0"/>
              <w:spacing w:after="0" w:line="240" w:lineRule="auto"/>
              <w:jc w:val="both"/>
              <w:rPr>
                <w:rFonts w:ascii="Times New Roman" w:eastAsia="Calibri" w:hAnsi="Times New Roman"/>
                <w:sz w:val="20"/>
                <w:szCs w:val="20"/>
              </w:rPr>
            </w:pPr>
          </w:p>
        </w:tc>
      </w:tr>
      <w:tr w:rsidR="00C45EE6" w:rsidRPr="00C45EE6" w14:paraId="6D891E2A" w14:textId="77777777" w:rsidTr="00C30045">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7FAED093" w14:textId="77777777" w:rsidR="00C45EE6" w:rsidRPr="00C45EE6" w:rsidRDefault="00C45EE6" w:rsidP="00C45EE6">
            <w:pPr>
              <w:spacing w:after="0" w:line="240" w:lineRule="auto"/>
              <w:jc w:val="center"/>
              <w:rPr>
                <w:rFonts w:ascii="Times New Roman" w:eastAsia="Calibri" w:hAnsi="Times New Roman"/>
                <w:sz w:val="20"/>
                <w:szCs w:val="20"/>
              </w:rPr>
            </w:pPr>
            <w:r w:rsidRPr="00C45EE6">
              <w:rPr>
                <w:rFonts w:ascii="Times New Roman" w:eastAsia="Calibri" w:hAnsi="Times New Roman"/>
                <w:sz w:val="20"/>
                <w:szCs w:val="20"/>
              </w:rPr>
              <w:t>9.</w:t>
            </w:r>
          </w:p>
        </w:tc>
        <w:tc>
          <w:tcPr>
            <w:tcW w:w="899" w:type="pct"/>
            <w:vMerge w:val="restart"/>
            <w:tcBorders>
              <w:top w:val="single" w:sz="4" w:space="0" w:color="auto"/>
              <w:left w:val="single" w:sz="4" w:space="0" w:color="auto"/>
              <w:bottom w:val="single" w:sz="4" w:space="0" w:color="auto"/>
              <w:right w:val="single" w:sz="4" w:space="0" w:color="auto"/>
            </w:tcBorders>
          </w:tcPr>
          <w:p w14:paraId="70848BF8"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Nepoštivanje horizontalnih načela</w:t>
            </w:r>
          </w:p>
          <w:p w14:paraId="27FAA327" w14:textId="77777777" w:rsidR="00C45EE6" w:rsidRPr="00C45EE6" w:rsidRDefault="00C45EE6" w:rsidP="00C45EE6">
            <w:pPr>
              <w:spacing w:after="0" w:line="240" w:lineRule="auto"/>
              <w:jc w:val="both"/>
              <w:rPr>
                <w:rFonts w:ascii="Times New Roman" w:eastAsia="Calibri" w:hAnsi="Times New Roman"/>
                <w:sz w:val="20"/>
                <w:szCs w:val="20"/>
              </w:rPr>
            </w:pPr>
          </w:p>
          <w:p w14:paraId="5551E4F6" w14:textId="77777777" w:rsidR="00C45EE6" w:rsidRPr="00C45EE6" w:rsidRDefault="00C45EE6" w:rsidP="00C45EE6">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41C98A6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Usklađenost s horizontalnim načelima, načelo nenanošenja bitne štete, “neutralni utjecaj” ili drugi zahtjevi specifičnog poziva su vrednovani tijekom odabira projekta (postupka dodjele bespovratnih sredstava). Neusklađenost s horizontalnim načelima dovodi do mogućnosti isključivanja projektnog prijedloga iz postupka dodjele bespovratnih sredstava. Također, nadležno provedbeno tijelo tijekom provedbe projekta provjerava poštuju li se navedena načela.</w:t>
            </w:r>
          </w:p>
          <w:p w14:paraId="6BCEA359" w14:textId="77777777" w:rsidR="00C45EE6" w:rsidRPr="00C45EE6" w:rsidRDefault="00C45EE6" w:rsidP="00C45EE6">
            <w:pPr>
              <w:spacing w:after="0" w:line="240" w:lineRule="auto"/>
              <w:jc w:val="both"/>
              <w:rPr>
                <w:rFonts w:ascii="Times New Roman" w:eastAsia="Calibri" w:hAnsi="Times New Roman"/>
                <w:sz w:val="20"/>
                <w:szCs w:val="20"/>
              </w:rPr>
            </w:pPr>
          </w:p>
          <w:p w14:paraId="715D6DB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1</w:t>
            </w:r>
          </w:p>
          <w:p w14:paraId="2845E98E" w14:textId="77777777" w:rsidR="00C45EE6" w:rsidRPr="00C45EE6" w:rsidRDefault="00C45EE6" w:rsidP="00C45EE6">
            <w:pPr>
              <w:spacing w:after="0" w:line="240" w:lineRule="auto"/>
              <w:jc w:val="both"/>
              <w:rPr>
                <w:rFonts w:ascii="Times New Roman" w:eastAsia="Calibri" w:hAnsi="Times New Roman"/>
                <w:sz w:val="20"/>
                <w:szCs w:val="20"/>
              </w:rPr>
            </w:pPr>
          </w:p>
          <w:p w14:paraId="1D1DC6BA"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Korisnik nije osigurao provedbu specifične mjere neutralnog utjecaja (u kontekstu održivog razvoja), koja je utvrđena u svrhu ublažavanja negativnog utjecaja investicije na okoliš.</w:t>
            </w:r>
          </w:p>
          <w:p w14:paraId="1A5D94C1" w14:textId="77777777" w:rsidR="00C45EE6" w:rsidRPr="00C45EE6" w:rsidRDefault="00C45EE6" w:rsidP="00C45EE6">
            <w:pPr>
              <w:spacing w:after="0" w:line="240" w:lineRule="auto"/>
              <w:jc w:val="both"/>
              <w:rPr>
                <w:rFonts w:ascii="Times New Roman" w:eastAsia="Calibri" w:hAnsi="Times New Roman"/>
                <w:sz w:val="20"/>
                <w:szCs w:val="20"/>
              </w:rPr>
            </w:pPr>
          </w:p>
          <w:p w14:paraId="13207906"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Korisnik nije poštivao načelo nenanošenja bitne štete u provedbi ugovora.</w:t>
            </w:r>
          </w:p>
          <w:p w14:paraId="5FCF848A" w14:textId="77777777" w:rsidR="00C45EE6" w:rsidRPr="00C45EE6" w:rsidRDefault="00C45EE6" w:rsidP="00C45EE6">
            <w:pPr>
              <w:spacing w:after="0" w:line="240" w:lineRule="auto"/>
              <w:jc w:val="both"/>
              <w:rPr>
                <w:rFonts w:ascii="Times New Roman" w:eastAsia="Calibri" w:hAnsi="Times New Roman"/>
                <w:sz w:val="20"/>
                <w:szCs w:val="20"/>
              </w:rPr>
            </w:pPr>
          </w:p>
          <w:p w14:paraId="371C862A"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2</w:t>
            </w:r>
          </w:p>
          <w:p w14:paraId="5C53BF8A" w14:textId="77777777" w:rsidR="00C45EE6" w:rsidRPr="00C45EE6" w:rsidRDefault="00C45EE6" w:rsidP="00C45EE6">
            <w:pPr>
              <w:spacing w:after="0" w:line="240" w:lineRule="auto"/>
              <w:jc w:val="both"/>
              <w:rPr>
                <w:rFonts w:ascii="Times New Roman" w:eastAsia="Calibri" w:hAnsi="Times New Roman"/>
                <w:sz w:val="20"/>
                <w:szCs w:val="20"/>
              </w:rPr>
            </w:pPr>
          </w:p>
          <w:p w14:paraId="13E7F983"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455BCB0A"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100% korekcija (ukupni prihvatljivi troškovi projekta)</w:t>
            </w:r>
          </w:p>
        </w:tc>
      </w:tr>
      <w:tr w:rsidR="00C45EE6" w:rsidRPr="00C45EE6" w14:paraId="0489C8EA" w14:textId="77777777" w:rsidTr="00C30045">
        <w:tc>
          <w:tcPr>
            <w:tcW w:w="496" w:type="pct"/>
            <w:vMerge/>
            <w:tcBorders>
              <w:top w:val="single" w:sz="4" w:space="0" w:color="auto"/>
              <w:left w:val="single" w:sz="4" w:space="0" w:color="auto"/>
              <w:bottom w:val="single" w:sz="4" w:space="0" w:color="auto"/>
              <w:right w:val="single" w:sz="4" w:space="0" w:color="auto"/>
            </w:tcBorders>
            <w:vAlign w:val="center"/>
            <w:hideMark/>
          </w:tcPr>
          <w:p w14:paraId="405721CD" w14:textId="77777777" w:rsidR="00C45EE6" w:rsidRPr="00C45EE6" w:rsidRDefault="00C45EE6" w:rsidP="00C45EE6">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888B7" w14:textId="77777777" w:rsidR="00C45EE6" w:rsidRPr="00C45EE6" w:rsidRDefault="00C45EE6" w:rsidP="00C45EE6">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761CD1D"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Doprinos horizontalnim načelima („načelo nenanošenja bitne štete“, “jednake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2E06BC4F" w14:textId="77777777" w:rsidR="00C45EE6" w:rsidRPr="00C45EE6" w:rsidRDefault="00C45EE6" w:rsidP="00C45EE6">
            <w:pPr>
              <w:spacing w:after="0" w:line="240" w:lineRule="auto"/>
              <w:jc w:val="both"/>
              <w:rPr>
                <w:rFonts w:ascii="Times New Roman" w:eastAsia="Calibri" w:hAnsi="Times New Roman"/>
                <w:sz w:val="20"/>
                <w:szCs w:val="20"/>
              </w:rPr>
            </w:pPr>
          </w:p>
          <w:p w14:paraId="5372F651"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1</w:t>
            </w:r>
          </w:p>
          <w:p w14:paraId="7C60768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 </w:t>
            </w:r>
          </w:p>
          <w:p w14:paraId="1BB0624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U projektnom prijedlogu je naznačena dodatna mjera (iznad zakonskog minimuma) te je i bodovana na odgovarajući način. Npr. naznačeno je da će se za osobe sa invaliditetom umjesto dva napraviti četiri posebno opremljena toaleta.</w:t>
            </w:r>
          </w:p>
          <w:p w14:paraId="58B7F99D" w14:textId="77777777" w:rsidR="00C45EE6" w:rsidRPr="00C45EE6" w:rsidRDefault="00C45EE6" w:rsidP="00C45EE6">
            <w:pPr>
              <w:tabs>
                <w:tab w:val="left" w:pos="2302"/>
              </w:tabs>
              <w:suppressAutoHyphens/>
              <w:snapToGrid w:val="0"/>
              <w:spacing w:after="0" w:line="240" w:lineRule="auto"/>
              <w:ind w:left="34"/>
              <w:jc w:val="both"/>
              <w:rPr>
                <w:rFonts w:ascii="Times New Roman" w:eastAsia="Calibri" w:hAnsi="Times New Roman"/>
                <w:sz w:val="20"/>
                <w:szCs w:val="20"/>
                <w:lang w:eastAsia="ar-SA"/>
              </w:rPr>
            </w:pPr>
          </w:p>
          <w:p w14:paraId="24EFED7B" w14:textId="77777777" w:rsidR="00C45EE6" w:rsidRPr="00C45EE6" w:rsidRDefault="00C45EE6" w:rsidP="00C45EE6">
            <w:pPr>
              <w:tabs>
                <w:tab w:val="left" w:pos="2302"/>
              </w:tabs>
              <w:suppressAutoHyphens/>
              <w:snapToGrid w:val="0"/>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Primjer 2 </w:t>
            </w:r>
          </w:p>
          <w:p w14:paraId="23763B50" w14:textId="77777777" w:rsidR="00C45EE6" w:rsidRPr="00C45EE6" w:rsidRDefault="00C45EE6" w:rsidP="00C45EE6">
            <w:pPr>
              <w:tabs>
                <w:tab w:val="left" w:pos="2302"/>
              </w:tabs>
              <w:suppressAutoHyphens/>
              <w:snapToGrid w:val="0"/>
              <w:spacing w:after="0" w:line="240" w:lineRule="auto"/>
              <w:jc w:val="both"/>
              <w:rPr>
                <w:rFonts w:ascii="Times New Roman" w:eastAsia="Calibri" w:hAnsi="Times New Roman"/>
                <w:sz w:val="20"/>
                <w:szCs w:val="20"/>
              </w:rPr>
            </w:pPr>
          </w:p>
          <w:p w14:paraId="09CE2550" w14:textId="77777777" w:rsidR="00C45EE6" w:rsidRPr="00C45EE6" w:rsidRDefault="00C45EE6" w:rsidP="00C45EE6">
            <w:pPr>
              <w:tabs>
                <w:tab w:val="left" w:pos="2302"/>
              </w:tabs>
              <w:suppressAutoHyphens/>
              <w:snapToGrid w:val="0"/>
              <w:spacing w:after="0" w:line="240" w:lineRule="auto"/>
              <w:jc w:val="both"/>
              <w:rPr>
                <w:rFonts w:ascii="Times New Roman" w:eastAsia="Calibri" w:hAnsi="Times New Roman"/>
                <w:sz w:val="20"/>
                <w:szCs w:val="20"/>
                <w:lang w:eastAsia="ar-SA"/>
              </w:rPr>
            </w:pPr>
            <w:r w:rsidRPr="00C45EE6">
              <w:rPr>
                <w:rFonts w:ascii="Times New Roman" w:eastAsia="Calibri" w:hAnsi="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C45EE6">
              <w:rPr>
                <w:rFonts w:ascii="Times New Roman" w:eastAsia="Calibri" w:hAnsi="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447A18D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 xml:space="preserve">25% korekcija (ukupni prihvatljivi troškovi projekta </w:t>
            </w:r>
          </w:p>
          <w:p w14:paraId="1B180BCF"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ili neprihvatljivost specifičnog troška, ako je primjenjivo </w:t>
            </w:r>
          </w:p>
        </w:tc>
      </w:tr>
      <w:tr w:rsidR="00C45EE6" w:rsidRPr="00C45EE6" w14:paraId="00D71C5C" w14:textId="77777777" w:rsidTr="00C30045">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34ED5BC7" w14:textId="77777777" w:rsidR="00C45EE6" w:rsidRPr="00C45EE6" w:rsidRDefault="00C45EE6" w:rsidP="00C45EE6">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69F90" w14:textId="77777777" w:rsidR="00C45EE6" w:rsidRPr="00C45EE6" w:rsidRDefault="00C45EE6" w:rsidP="00C45EE6">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A84089D"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Doprinos horizontalnim načelima („načelo nenanošenja bitne štete“, “jednake mogućnosti i antidiskriminacija”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364B5CC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 </w:t>
            </w:r>
          </w:p>
          <w:p w14:paraId="043428BA"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1</w:t>
            </w:r>
          </w:p>
          <w:p w14:paraId="600B0B89" w14:textId="77777777" w:rsidR="00C45EE6" w:rsidRPr="00C45EE6" w:rsidRDefault="00C45EE6" w:rsidP="00C45EE6">
            <w:pPr>
              <w:spacing w:after="0" w:line="240" w:lineRule="auto"/>
              <w:jc w:val="both"/>
              <w:rPr>
                <w:rFonts w:ascii="Times New Roman" w:eastAsia="Calibri" w:hAnsi="Times New Roman"/>
                <w:sz w:val="20"/>
                <w:szCs w:val="20"/>
              </w:rPr>
            </w:pPr>
          </w:p>
          <w:p w14:paraId="22C667C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308905EE" w14:textId="77777777" w:rsidR="00C45EE6" w:rsidRPr="00C45EE6" w:rsidRDefault="00C45EE6" w:rsidP="00C45EE6">
            <w:pPr>
              <w:spacing w:after="0" w:line="240" w:lineRule="auto"/>
              <w:jc w:val="both"/>
              <w:rPr>
                <w:rFonts w:ascii="Times New Roman" w:eastAsia="Calibri" w:hAnsi="Times New Roman"/>
                <w:sz w:val="20"/>
                <w:szCs w:val="20"/>
              </w:rPr>
            </w:pPr>
          </w:p>
          <w:p w14:paraId="13B548DD"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2</w:t>
            </w:r>
          </w:p>
          <w:p w14:paraId="2CB9121D" w14:textId="77777777" w:rsidR="00C45EE6" w:rsidRPr="00C45EE6" w:rsidRDefault="00C45EE6" w:rsidP="00C45EE6">
            <w:pPr>
              <w:spacing w:after="0" w:line="240" w:lineRule="auto"/>
              <w:jc w:val="both"/>
              <w:rPr>
                <w:rFonts w:ascii="Times New Roman" w:eastAsia="Calibri" w:hAnsi="Times New Roman"/>
                <w:sz w:val="20"/>
                <w:szCs w:val="20"/>
              </w:rPr>
            </w:pPr>
          </w:p>
          <w:p w14:paraId="52F8B57B"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Strategija upravljanja otpadom je predvidjela recikliranje građevinskog otpada, ali nije provedena bez objektivnog razloga.</w:t>
            </w:r>
          </w:p>
          <w:p w14:paraId="2A570C72" w14:textId="77777777" w:rsidR="00C45EE6" w:rsidRPr="00C45EE6" w:rsidRDefault="00C45EE6" w:rsidP="00C45EE6">
            <w:pPr>
              <w:spacing w:after="0" w:line="240" w:lineRule="auto"/>
              <w:jc w:val="both"/>
              <w:rPr>
                <w:rFonts w:ascii="Times New Roman" w:eastAsia="Calibri" w:hAnsi="Times New Roman"/>
                <w:sz w:val="20"/>
                <w:szCs w:val="20"/>
              </w:rPr>
            </w:pPr>
          </w:p>
          <w:p w14:paraId="6885464E"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Primjer 3 </w:t>
            </w:r>
          </w:p>
          <w:p w14:paraId="5BE716D2" w14:textId="77777777" w:rsidR="00C45EE6" w:rsidRPr="00C45EE6" w:rsidRDefault="00C45EE6" w:rsidP="00C45EE6">
            <w:pPr>
              <w:spacing w:after="0" w:line="240" w:lineRule="auto"/>
              <w:jc w:val="both"/>
              <w:rPr>
                <w:rFonts w:ascii="Times New Roman" w:eastAsia="Calibri" w:hAnsi="Times New Roman"/>
                <w:sz w:val="20"/>
                <w:szCs w:val="20"/>
              </w:rPr>
            </w:pPr>
          </w:p>
          <w:p w14:paraId="4B63532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3C78CE7D"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01965F6A"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2E356F32" w14:textId="77777777" w:rsidTr="00C30045">
        <w:tc>
          <w:tcPr>
            <w:tcW w:w="496" w:type="pct"/>
            <w:vMerge/>
            <w:tcBorders>
              <w:top w:val="single" w:sz="4" w:space="0" w:color="auto"/>
              <w:left w:val="single" w:sz="4" w:space="0" w:color="auto"/>
              <w:bottom w:val="single" w:sz="4" w:space="0" w:color="auto"/>
              <w:right w:val="single" w:sz="4" w:space="0" w:color="auto"/>
            </w:tcBorders>
            <w:vAlign w:val="center"/>
            <w:hideMark/>
          </w:tcPr>
          <w:p w14:paraId="5767A766" w14:textId="77777777" w:rsidR="00C45EE6" w:rsidRPr="00C45EE6" w:rsidRDefault="00C45EE6" w:rsidP="00C45EE6">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DDF50" w14:textId="77777777" w:rsidR="00C45EE6" w:rsidRPr="00C45EE6" w:rsidRDefault="00C45EE6" w:rsidP="00C45EE6">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3BCD6D4"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Doprinos horizontalnim načelima („načelo nenanošenja bitne štete“, “jednake mogućnosti i antidiskriminacija” ili “održivi razvoj”) je vrednovan tijekom postupka odabira projekta (dodjele bespovratnih sredstava), projektni prijedlog je dobio dodatne bodove, a provjera nadležnog tijela pokazuje da dodatni, posebni roba/radovi/usluge nisu </w:t>
            </w:r>
            <w:r w:rsidRPr="00C45EE6">
              <w:rPr>
                <w:rFonts w:ascii="Times New Roman" w:eastAsia="Calibri" w:hAnsi="Times New Roman"/>
                <w:sz w:val="20"/>
                <w:szCs w:val="20"/>
              </w:rPr>
              <w:lastRenderedPageBreak/>
              <w:t>obavljeni/isporučeni u cijelosti što uzrokuje kratkoročne neprilike za stanovništvo ili imovinu.</w:t>
            </w:r>
          </w:p>
          <w:p w14:paraId="5E8A69E4" w14:textId="77777777" w:rsidR="00C45EE6" w:rsidRPr="00C45EE6" w:rsidRDefault="00C45EE6" w:rsidP="00C45EE6">
            <w:pPr>
              <w:spacing w:after="0" w:line="240" w:lineRule="auto"/>
              <w:jc w:val="both"/>
              <w:rPr>
                <w:rFonts w:ascii="Times New Roman" w:eastAsia="Calibri" w:hAnsi="Times New Roman"/>
                <w:sz w:val="20"/>
                <w:szCs w:val="20"/>
              </w:rPr>
            </w:pPr>
          </w:p>
          <w:p w14:paraId="7F0D38B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1</w:t>
            </w:r>
          </w:p>
          <w:p w14:paraId="39461CCD" w14:textId="77777777" w:rsidR="00C45EE6" w:rsidRPr="00C45EE6" w:rsidRDefault="00C45EE6" w:rsidP="00C45EE6">
            <w:pPr>
              <w:spacing w:after="0" w:line="240" w:lineRule="auto"/>
              <w:jc w:val="both"/>
              <w:rPr>
                <w:rFonts w:ascii="Times New Roman" w:eastAsia="Calibri" w:hAnsi="Times New Roman"/>
                <w:sz w:val="20"/>
                <w:szCs w:val="20"/>
              </w:rPr>
            </w:pPr>
          </w:p>
          <w:p w14:paraId="51CBA73C"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0CDB7C9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Financijska korekcija nije primjenjiva, ako organizator dokaže da se nijedna osoba s invaliditetom nije prijavila za obuku.   </w:t>
            </w:r>
          </w:p>
          <w:p w14:paraId="5B46A35C" w14:textId="77777777" w:rsidR="00C45EE6" w:rsidRPr="00C45EE6" w:rsidRDefault="00C45EE6" w:rsidP="00C45EE6">
            <w:pPr>
              <w:spacing w:after="0" w:line="240" w:lineRule="auto"/>
              <w:jc w:val="both"/>
              <w:rPr>
                <w:rFonts w:ascii="Times New Roman" w:eastAsia="Calibri" w:hAnsi="Times New Roman"/>
                <w:sz w:val="20"/>
                <w:szCs w:val="20"/>
              </w:rPr>
            </w:pPr>
          </w:p>
          <w:p w14:paraId="3FF5F4B6"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Primjer 2</w:t>
            </w:r>
          </w:p>
          <w:p w14:paraId="59B9C05C" w14:textId="77777777" w:rsidR="00C45EE6" w:rsidRPr="00C45EE6" w:rsidRDefault="00C45EE6" w:rsidP="00C45EE6">
            <w:pPr>
              <w:spacing w:after="0" w:line="240" w:lineRule="auto"/>
              <w:jc w:val="both"/>
              <w:rPr>
                <w:rFonts w:ascii="Times New Roman" w:eastAsia="Calibri" w:hAnsi="Times New Roman"/>
                <w:sz w:val="20"/>
                <w:szCs w:val="20"/>
              </w:rPr>
            </w:pPr>
          </w:p>
          <w:p w14:paraId="461565E2"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Aktivnosti poslovne podrške (mentorstvo za start-up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3DF26E7C"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lastRenderedPageBreak/>
              <w:t xml:space="preserve">5% korekcije (ukupni prihvatljivi troškovi projekta)  ili će cjelokupni troškovi predviđenih radova/roba/usluga za koji su dobiveni dodatni bodovi biti neprihvatljivi i/ili cjelokupna zamjena ili </w:t>
            </w:r>
            <w:r w:rsidRPr="00C45EE6">
              <w:rPr>
                <w:rFonts w:ascii="Times New Roman" w:eastAsia="Calibri" w:hAnsi="Times New Roman"/>
                <w:sz w:val="20"/>
                <w:szCs w:val="20"/>
              </w:rPr>
              <w:lastRenderedPageBreak/>
              <w:t xml:space="preserve">prilagodba svih neophodnih radova/roba je osigurana na trošak korisnika </w:t>
            </w:r>
          </w:p>
          <w:p w14:paraId="18856DA8" w14:textId="77777777" w:rsidR="00C45EE6" w:rsidRPr="00C45EE6" w:rsidRDefault="00C45EE6" w:rsidP="00C45EE6">
            <w:pPr>
              <w:spacing w:after="0" w:line="240" w:lineRule="auto"/>
              <w:jc w:val="both"/>
              <w:rPr>
                <w:rFonts w:ascii="Times New Roman" w:eastAsia="Calibri" w:hAnsi="Times New Roman"/>
                <w:sz w:val="20"/>
                <w:szCs w:val="20"/>
              </w:rPr>
            </w:pPr>
          </w:p>
          <w:p w14:paraId="51CC7B01" w14:textId="77777777" w:rsidR="00C45EE6" w:rsidRPr="00C45EE6" w:rsidRDefault="00C45EE6" w:rsidP="00C45EE6">
            <w:pPr>
              <w:spacing w:after="0" w:line="240" w:lineRule="auto"/>
              <w:jc w:val="both"/>
              <w:rPr>
                <w:rFonts w:ascii="Times New Roman" w:eastAsia="Calibri" w:hAnsi="Times New Roman"/>
                <w:sz w:val="20"/>
                <w:szCs w:val="20"/>
              </w:rPr>
            </w:pPr>
          </w:p>
          <w:p w14:paraId="2C97BF50" w14:textId="77777777" w:rsidR="00C45EE6" w:rsidRPr="00C45EE6" w:rsidRDefault="00C45EE6" w:rsidP="00C45EE6">
            <w:pPr>
              <w:spacing w:after="0" w:line="240" w:lineRule="auto"/>
              <w:jc w:val="both"/>
              <w:rPr>
                <w:rFonts w:ascii="Times New Roman" w:eastAsia="Calibri" w:hAnsi="Times New Roman"/>
                <w:sz w:val="20"/>
                <w:szCs w:val="20"/>
              </w:rPr>
            </w:pPr>
          </w:p>
          <w:p w14:paraId="549333C2" w14:textId="77777777" w:rsidR="00C45EE6" w:rsidRPr="00C45EE6" w:rsidRDefault="00C45EE6" w:rsidP="00C45EE6">
            <w:pPr>
              <w:spacing w:after="0" w:line="240" w:lineRule="auto"/>
              <w:jc w:val="both"/>
              <w:rPr>
                <w:rFonts w:ascii="Times New Roman" w:eastAsia="Calibri" w:hAnsi="Times New Roman"/>
                <w:sz w:val="20"/>
                <w:szCs w:val="20"/>
              </w:rPr>
            </w:pPr>
          </w:p>
        </w:tc>
      </w:tr>
      <w:tr w:rsidR="00C45EE6" w:rsidRPr="00C45EE6" w14:paraId="06C650E5" w14:textId="77777777" w:rsidTr="00C30045">
        <w:tc>
          <w:tcPr>
            <w:tcW w:w="496" w:type="pct"/>
            <w:tcBorders>
              <w:top w:val="single" w:sz="4" w:space="0" w:color="auto"/>
              <w:left w:val="single" w:sz="4" w:space="0" w:color="auto"/>
              <w:bottom w:val="single" w:sz="4" w:space="0" w:color="auto"/>
              <w:right w:val="single" w:sz="4" w:space="0" w:color="auto"/>
            </w:tcBorders>
            <w:vAlign w:val="center"/>
            <w:hideMark/>
          </w:tcPr>
          <w:p w14:paraId="52F7A336" w14:textId="77777777" w:rsidR="00C45EE6" w:rsidRPr="00C45EE6" w:rsidRDefault="00C45EE6" w:rsidP="00C45EE6">
            <w:pPr>
              <w:spacing w:after="0" w:line="240" w:lineRule="auto"/>
              <w:jc w:val="center"/>
              <w:rPr>
                <w:rFonts w:ascii="Times New Roman" w:eastAsia="Calibri" w:hAnsi="Times New Roman"/>
                <w:sz w:val="20"/>
                <w:szCs w:val="20"/>
              </w:rPr>
            </w:pPr>
            <w:r w:rsidRPr="00C45EE6">
              <w:rPr>
                <w:rFonts w:ascii="Times New Roman" w:eastAsia="Calibri" w:hAnsi="Times New Roman"/>
                <w:sz w:val="20"/>
                <w:szCs w:val="20"/>
              </w:rPr>
              <w:lastRenderedPageBreak/>
              <w:t>10.</w:t>
            </w:r>
          </w:p>
        </w:tc>
        <w:tc>
          <w:tcPr>
            <w:tcW w:w="899" w:type="pct"/>
            <w:tcBorders>
              <w:top w:val="single" w:sz="4" w:space="0" w:color="auto"/>
              <w:left w:val="single" w:sz="4" w:space="0" w:color="auto"/>
              <w:bottom w:val="single" w:sz="4" w:space="0" w:color="auto"/>
              <w:right w:val="single" w:sz="4" w:space="0" w:color="auto"/>
            </w:tcBorders>
          </w:tcPr>
          <w:p w14:paraId="013D247D"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Isporučeni predmeti ugovora o nabavi nisu u skladu s ugovorenim uvjetima u pogledu kvalitete isporučevina</w:t>
            </w:r>
          </w:p>
          <w:p w14:paraId="21AD8908" w14:textId="77777777" w:rsidR="00C45EE6" w:rsidRPr="00C45EE6" w:rsidRDefault="00C45EE6" w:rsidP="00C45EE6">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96EC589"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99CDEA4" w14:textId="77777777" w:rsidR="00C45EE6" w:rsidRPr="00C45EE6" w:rsidRDefault="00C45EE6" w:rsidP="00C45EE6">
            <w:pPr>
              <w:spacing w:after="0" w:line="240" w:lineRule="auto"/>
              <w:jc w:val="both"/>
              <w:rPr>
                <w:rFonts w:ascii="Times New Roman" w:eastAsia="Calibri" w:hAnsi="Times New Roman"/>
                <w:sz w:val="20"/>
                <w:szCs w:val="20"/>
              </w:rPr>
            </w:pPr>
          </w:p>
          <w:p w14:paraId="22160ED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Za proizvode vezane za nabavu – vidjeti Prilog 1. </w:t>
            </w:r>
          </w:p>
          <w:p w14:paraId="4342F976" w14:textId="77777777" w:rsidR="00C45EE6" w:rsidRPr="00C45EE6" w:rsidRDefault="00C45EE6" w:rsidP="00C45EE6">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7B68EAAC"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Jednostavna financijska korekcija ili</w:t>
            </w:r>
          </w:p>
          <w:p w14:paraId="02FFBB47"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 xml:space="preserve"> </w:t>
            </w:r>
          </w:p>
          <w:p w14:paraId="27C050C3"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od 5% do 100 % korekcije</w:t>
            </w:r>
          </w:p>
          <w:p w14:paraId="17E704A3" w14:textId="77777777" w:rsidR="00C45EE6" w:rsidRPr="00C45EE6" w:rsidRDefault="00C45EE6" w:rsidP="00C45EE6">
            <w:pPr>
              <w:spacing w:after="0" w:line="240" w:lineRule="auto"/>
              <w:jc w:val="both"/>
              <w:rPr>
                <w:rFonts w:ascii="Times New Roman" w:eastAsia="Calibri" w:hAnsi="Times New Roman"/>
                <w:sz w:val="20"/>
                <w:szCs w:val="20"/>
              </w:rPr>
            </w:pPr>
          </w:p>
          <w:p w14:paraId="14A9A9C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100%-tna korekcija  u slučaju nedostatne kvalitete isporučevine zbog čega je ista neupotrebljiva ili</w:t>
            </w:r>
          </w:p>
          <w:p w14:paraId="4BE1D7A2" w14:textId="77777777" w:rsidR="00C45EE6" w:rsidRPr="00C45EE6" w:rsidRDefault="00C45EE6" w:rsidP="00C45EE6">
            <w:pPr>
              <w:spacing w:after="0" w:line="240" w:lineRule="auto"/>
              <w:jc w:val="both"/>
              <w:rPr>
                <w:rFonts w:ascii="Times New Roman" w:eastAsia="Calibri" w:hAnsi="Times New Roman"/>
                <w:sz w:val="20"/>
                <w:szCs w:val="20"/>
              </w:rPr>
            </w:pPr>
          </w:p>
          <w:p w14:paraId="321A3420" w14:textId="77777777" w:rsidR="00C45EE6" w:rsidRPr="00C45EE6" w:rsidRDefault="00C45EE6" w:rsidP="00C45EE6">
            <w:pPr>
              <w:spacing w:after="0" w:line="240" w:lineRule="auto"/>
              <w:jc w:val="both"/>
              <w:rPr>
                <w:rFonts w:ascii="Times New Roman" w:eastAsia="Calibri" w:hAnsi="Times New Roman"/>
                <w:sz w:val="20"/>
                <w:szCs w:val="20"/>
              </w:rPr>
            </w:pPr>
            <w:r w:rsidRPr="00C45EE6">
              <w:rPr>
                <w:rFonts w:ascii="Times New Roman" w:eastAsia="Calibri" w:hAnsi="Times New Roman"/>
                <w:sz w:val="20"/>
                <w:szCs w:val="20"/>
              </w:rPr>
              <w:t>korekcija od 50%, 25%, 10% ili 5%, ovisno o tome koliko je stupanj kvalitete utjecao  postignuće ciljeva  rezultata.</w:t>
            </w:r>
          </w:p>
          <w:p w14:paraId="324E7409" w14:textId="77777777" w:rsidR="00C45EE6" w:rsidRPr="00C45EE6" w:rsidRDefault="00C45EE6" w:rsidP="00C45EE6">
            <w:pPr>
              <w:spacing w:after="0" w:line="240" w:lineRule="auto"/>
              <w:jc w:val="both"/>
              <w:rPr>
                <w:rFonts w:ascii="Times New Roman" w:eastAsia="Calibri" w:hAnsi="Times New Roman"/>
                <w:sz w:val="20"/>
                <w:szCs w:val="20"/>
              </w:rPr>
            </w:pPr>
          </w:p>
        </w:tc>
      </w:tr>
    </w:tbl>
    <w:p w14:paraId="011A0995" w14:textId="77777777" w:rsidR="00C45EE6" w:rsidRPr="00C45EE6" w:rsidRDefault="00C45EE6" w:rsidP="00C45EE6">
      <w:pPr>
        <w:spacing w:before="240" w:after="240" w:line="240" w:lineRule="auto"/>
        <w:jc w:val="center"/>
        <w:rPr>
          <w:rFonts w:ascii="Times New Roman" w:eastAsia="Calibri" w:hAnsi="Times New Roman"/>
        </w:rPr>
      </w:pPr>
    </w:p>
    <w:p w14:paraId="5EEE48EE" w14:textId="77777777" w:rsidR="00C45EE6" w:rsidRPr="00C45EE6" w:rsidRDefault="00C45EE6" w:rsidP="00C45EE6">
      <w:pPr>
        <w:spacing w:before="240" w:after="240" w:line="240" w:lineRule="auto"/>
        <w:jc w:val="center"/>
        <w:rPr>
          <w:rFonts w:ascii="Times New Roman" w:eastAsia="Calibri" w:hAnsi="Times New Roman"/>
        </w:rPr>
      </w:pPr>
    </w:p>
    <w:p w14:paraId="7670CE51" w14:textId="77777777" w:rsidR="00C45EE6" w:rsidRPr="00C45EE6" w:rsidRDefault="00C45EE6" w:rsidP="00C45EE6">
      <w:pPr>
        <w:spacing w:before="240" w:after="240" w:line="240" w:lineRule="auto"/>
        <w:jc w:val="center"/>
        <w:rPr>
          <w:rFonts w:ascii="Times New Roman" w:eastAsia="Calibri" w:hAnsi="Times New Roman"/>
        </w:rPr>
      </w:pPr>
    </w:p>
    <w:p w14:paraId="1BADC817" w14:textId="77777777" w:rsidR="00A64959" w:rsidRPr="00B94033" w:rsidRDefault="00A64959" w:rsidP="00B94033"/>
    <w:sectPr w:rsidR="00A64959" w:rsidRPr="00B94033" w:rsidSect="00C8779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E316" w14:textId="77777777" w:rsidR="00A23760" w:rsidRDefault="00A23760" w:rsidP="00CE785D">
      <w:pPr>
        <w:spacing w:after="0" w:line="240" w:lineRule="auto"/>
      </w:pPr>
      <w:r>
        <w:separator/>
      </w:r>
    </w:p>
  </w:endnote>
  <w:endnote w:type="continuationSeparator" w:id="0">
    <w:p w14:paraId="6E8846DA" w14:textId="77777777" w:rsidR="00A23760" w:rsidRDefault="00A23760" w:rsidP="00CE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5E11" w14:textId="6C768200" w:rsidR="00172526" w:rsidRDefault="003F27F2" w:rsidP="003F27F2">
    <w:pPr>
      <w:pStyle w:val="Footer"/>
      <w:jc w:val="center"/>
    </w:pPr>
    <w:r>
      <w:rPr>
        <w:rFonts w:ascii="Times New Roman" w:hAnsi="Times New Roman"/>
        <w:sz w:val="18"/>
        <w:szCs w:val="18"/>
      </w:rPr>
      <w:t xml:space="preserve">Stranica </w:t>
    </w: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1C7691">
      <w:rPr>
        <w:rFonts w:ascii="Times New Roman" w:hAnsi="Times New Roman"/>
        <w:bCs/>
        <w:noProof/>
        <w:sz w:val="18"/>
        <w:szCs w:val="18"/>
      </w:rPr>
      <w:t>2</w:t>
    </w:r>
    <w:r>
      <w:rPr>
        <w:rFonts w:ascii="Times New Roman" w:hAnsi="Times New Roman"/>
        <w:bCs/>
        <w:sz w:val="18"/>
        <w:szCs w:val="18"/>
      </w:rPr>
      <w:fldChar w:fldCharType="end"/>
    </w:r>
    <w:r>
      <w:rPr>
        <w:rFonts w:ascii="Times New Roman" w:hAnsi="Times New Roman"/>
        <w:sz w:val="18"/>
        <w:szCs w:val="18"/>
      </w:rPr>
      <w:t xml:space="preserve"> od </w:t>
    </w:r>
    <w:r>
      <w:rPr>
        <w:rFonts w:ascii="Times New Roman" w:hAnsi="Times New Roman"/>
        <w:bCs/>
        <w:sz w:val="18"/>
        <w:szCs w:val="18"/>
      </w:rPr>
      <w:fldChar w:fldCharType="begin"/>
    </w:r>
    <w:r>
      <w:rPr>
        <w:rFonts w:ascii="Times New Roman" w:hAnsi="Times New Roman"/>
        <w:bCs/>
        <w:sz w:val="18"/>
        <w:szCs w:val="18"/>
      </w:rPr>
      <w:instrText xml:space="preserve"> NUMPAGES  </w:instrText>
    </w:r>
    <w:r>
      <w:rPr>
        <w:rFonts w:ascii="Times New Roman" w:hAnsi="Times New Roman"/>
        <w:bCs/>
        <w:sz w:val="18"/>
        <w:szCs w:val="18"/>
      </w:rPr>
      <w:fldChar w:fldCharType="separate"/>
    </w:r>
    <w:r w:rsidR="001C7691">
      <w:rPr>
        <w:rFonts w:ascii="Times New Roman" w:hAnsi="Times New Roman"/>
        <w:bCs/>
        <w:noProof/>
        <w:sz w:val="18"/>
        <w:szCs w:val="18"/>
      </w:rPr>
      <w:t>37</w:t>
    </w:r>
    <w:r>
      <w:rPr>
        <w:rFonts w:ascii="Times New Roman" w:hAnsi="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E81A" w14:textId="77777777" w:rsidR="00A23760" w:rsidRDefault="00A23760" w:rsidP="00CE785D">
      <w:pPr>
        <w:spacing w:after="0" w:line="240" w:lineRule="auto"/>
      </w:pPr>
      <w:r>
        <w:separator/>
      </w:r>
    </w:p>
  </w:footnote>
  <w:footnote w:type="continuationSeparator" w:id="0">
    <w:p w14:paraId="6C49A207" w14:textId="77777777" w:rsidR="00A23760" w:rsidRDefault="00A23760" w:rsidP="00CE785D">
      <w:pPr>
        <w:spacing w:after="0" w:line="240" w:lineRule="auto"/>
      </w:pPr>
      <w:r>
        <w:continuationSeparator/>
      </w:r>
    </w:p>
  </w:footnote>
  <w:footnote w:id="1">
    <w:p w14:paraId="60A7E865" w14:textId="77777777" w:rsidR="00C45EE6" w:rsidRPr="00A9738A" w:rsidRDefault="00C45EE6" w:rsidP="00C45EE6">
      <w:pPr>
        <w:pStyle w:val="FootnoteText"/>
        <w:jc w:val="both"/>
        <w:rPr>
          <w:highlight w:val="yellow"/>
        </w:rPr>
      </w:pPr>
      <w:r w:rsidRPr="00AB2CD7">
        <w:rPr>
          <w:rStyle w:val="FootnoteReference"/>
        </w:rPr>
        <w:footnoteRef/>
      </w:r>
      <w:r w:rsidRPr="00AB2CD7">
        <w:t xml:space="preserve"> Označava Europsku uniju. U navedenom kontekstu u tekstu se rabe još i termini Europska unija i EU.</w:t>
      </w:r>
    </w:p>
  </w:footnote>
  <w:footnote w:id="2">
    <w:p w14:paraId="248B44FB" w14:textId="77777777" w:rsidR="00C45EE6" w:rsidRPr="00310F62" w:rsidRDefault="00C45EE6" w:rsidP="00C45EE6">
      <w:pPr>
        <w:pStyle w:val="FootnoteText"/>
      </w:pPr>
      <w:r w:rsidRPr="008D616A">
        <w:rPr>
          <w:rStyle w:val="FootnoteReference"/>
        </w:rPr>
        <w:footnoteRef/>
      </w:r>
      <w:r w:rsidRPr="008D616A">
        <w:t xml:space="preserve"> Konvencija o zaštiti financijskih interesa Europskih zajednica (SL C 316, 27.11.1995.)</w:t>
      </w:r>
    </w:p>
  </w:footnote>
  <w:footnote w:id="3">
    <w:p w14:paraId="0DE2264E" w14:textId="77777777" w:rsidR="00C45EE6" w:rsidRPr="00C4593D" w:rsidRDefault="00C45EE6" w:rsidP="00C45EE6">
      <w:pPr>
        <w:pStyle w:val="FootnoteText"/>
        <w:jc w:val="both"/>
      </w:pPr>
      <w:r>
        <w:rPr>
          <w:rStyle w:val="FootnoteReference"/>
        </w:rPr>
        <w:footnoteRef/>
      </w:r>
      <w:r>
        <w:t xml:space="preserve"> Gospodarski subjekti</w:t>
      </w:r>
      <w:r w:rsidRPr="00C4593D">
        <w:t xml:space="preserve"> koje su obvez</w:t>
      </w:r>
      <w:r>
        <w:t>ni</w:t>
      </w:r>
      <w:r w:rsidRPr="00C4593D">
        <w:t xml:space="preserve"> primjenjivati Zakon o javnoj nabavi </w:t>
      </w:r>
      <w:r>
        <w:t>i</w:t>
      </w:r>
      <w:r w:rsidRPr="00C4593D">
        <w:t xml:space="preserve"> podzakonske akte donesene na temelju tog zakona.</w:t>
      </w:r>
      <w:r>
        <w:t xml:space="preserve"> </w:t>
      </w:r>
    </w:p>
  </w:footnote>
  <w:footnote w:id="4">
    <w:p w14:paraId="37E43F00" w14:textId="77777777" w:rsidR="00C45EE6" w:rsidRPr="005B25F1" w:rsidRDefault="00C45EE6" w:rsidP="00C45EE6">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5">
    <w:p w14:paraId="4A51B379" w14:textId="77777777" w:rsidR="00C45EE6" w:rsidRPr="00DF2800" w:rsidRDefault="00C45EE6" w:rsidP="00C45EE6">
      <w:pPr>
        <w:pStyle w:val="FootnoteText"/>
      </w:pPr>
      <w:r w:rsidRPr="005B25F1">
        <w:rPr>
          <w:rStyle w:val="FootnoteReference"/>
        </w:rPr>
        <w:footnoteRef/>
      </w:r>
      <w:r w:rsidRPr="005B25F1">
        <w:t xml:space="preserve"> </w:t>
      </w:r>
      <w:r w:rsidRPr="004C1A12">
        <w:rPr>
          <w:color w:val="212121"/>
        </w:rPr>
        <w:t>Financijska korekcija se primjenjuje na ukupni iznos svih ugovora koji su umjetno podijeljeni</w:t>
      </w:r>
      <w:r>
        <w:rPr>
          <w:color w:val="212121"/>
        </w:rPr>
        <w:t xml:space="preserve"> osim onih koji su imali jednaku razinu transparentnosti poziva koju bi morali imati i da je postupak ispravno proveden</w:t>
      </w:r>
      <w:r w:rsidRPr="004C1A12">
        <w:rPr>
          <w:color w:val="212121"/>
        </w:rPr>
        <w:t>.</w:t>
      </w:r>
    </w:p>
  </w:footnote>
  <w:footnote w:id="6">
    <w:p w14:paraId="3B5F05F2" w14:textId="77777777" w:rsidR="00C45EE6" w:rsidRPr="002C6F65" w:rsidRDefault="00C45EE6" w:rsidP="00C45EE6">
      <w:pPr>
        <w:pStyle w:val="FootnoteText"/>
      </w:pPr>
      <w:r>
        <w:rPr>
          <w:rStyle w:val="FootnoteReference"/>
        </w:rPr>
        <w:footnoteRef/>
      </w:r>
      <w:r>
        <w:t xml:space="preserve"> Propust nenavođenja kriterija za odabir ponude odnosi se samo na slučajeve kada se radi o postupcima koji se provode sukladno Zakonu o javnoj nabavi </w:t>
      </w:r>
    </w:p>
  </w:footnote>
  <w:footnote w:id="7">
    <w:p w14:paraId="4773D859" w14:textId="77777777" w:rsidR="00C45EE6" w:rsidRPr="008F691C" w:rsidRDefault="00C45EE6" w:rsidP="00C45EE6">
      <w:pPr>
        <w:pStyle w:val="FootnoteText"/>
        <w:jc w:val="both"/>
      </w:pPr>
      <w:r w:rsidRPr="008F691C">
        <w:rPr>
          <w:rStyle w:val="FootnoteReference"/>
        </w:rPr>
        <w:footnoteRef/>
      </w:r>
      <w:r w:rsidRPr="008F691C">
        <w:t xml:space="preserve"> Osim ako: (i) je dopušteno pregovaranje ili (ii) kada je predmet ugovora razjašnjen nakon objave poziva na nadmetanje, a takvo pojašnjenje je objavljeno u skladu s pravilima javne nabave.</w:t>
      </w:r>
    </w:p>
  </w:footnote>
  <w:footnote w:id="8">
    <w:p w14:paraId="423FBA74" w14:textId="77777777" w:rsidR="00C45EE6" w:rsidRPr="000A3444" w:rsidRDefault="00C45EE6" w:rsidP="00C45EE6">
      <w:pPr>
        <w:pStyle w:val="FootnoteText"/>
        <w:jc w:val="both"/>
      </w:pPr>
      <w:r w:rsidRPr="00CE753A">
        <w:rPr>
          <w:rStyle w:val="FootnoteReference"/>
        </w:rPr>
        <w:footnoteRef/>
      </w:r>
      <w:r w:rsidRPr="00CE753A">
        <w:t xml:space="preserve"> Osim ako naručitelj ne može jasno prikazati dokazati da odbijena ponuda ni u kojem slučaju ne bi bila prihvaćena i da stoga nepravilnost nije imala nikakav financijski učinak.</w:t>
      </w:r>
    </w:p>
  </w:footnote>
  <w:footnote w:id="9">
    <w:p w14:paraId="21E0D21A" w14:textId="77777777" w:rsidR="00C45EE6" w:rsidRPr="00460D22" w:rsidRDefault="00C45EE6" w:rsidP="00C45EE6">
      <w:pPr>
        <w:pStyle w:val="FootnoteText"/>
        <w:jc w:val="both"/>
      </w:pPr>
      <w:r w:rsidRPr="00460D22">
        <w:rPr>
          <w:rStyle w:val="FootnoteReference"/>
        </w:rPr>
        <w:footnoteRef/>
      </w:r>
      <w:r w:rsidRPr="00460D22">
        <w:t xml:space="preserve"> Međutim, izmjene elemenata ugovora ne smatraju se nepravilnostima koje podliježu financijskoj korekciji kada se poštuju slijedeći uvjeti:</w:t>
      </w:r>
    </w:p>
    <w:p w14:paraId="48E900BE" w14:textId="77777777" w:rsidR="00C45EE6" w:rsidRPr="00460D22" w:rsidRDefault="00C45EE6" w:rsidP="00C45EE6">
      <w:pPr>
        <w:pStyle w:val="FootnoteText"/>
        <w:jc w:val="both"/>
      </w:pPr>
      <w:r w:rsidRPr="00460D22">
        <w:t>a) vrijednost izmjena je ispod sljedećih vrijednosti:</w:t>
      </w:r>
    </w:p>
    <w:p w14:paraId="2DCE55F0" w14:textId="77777777" w:rsidR="00C45EE6" w:rsidRPr="00460D22" w:rsidRDefault="00C45EE6" w:rsidP="00C45EE6">
      <w:pPr>
        <w:pStyle w:val="FootnoteText"/>
        <w:jc w:val="both"/>
      </w:pPr>
      <w:r w:rsidRPr="00460D22">
        <w:t>(i) pragovi utvrđeni u članku 4. Direktive 2014/24 / EU; i</w:t>
      </w:r>
    </w:p>
    <w:p w14:paraId="5FC394A7" w14:textId="77777777" w:rsidR="00C45EE6" w:rsidRPr="00460D22" w:rsidRDefault="00C45EE6" w:rsidP="00C45EE6">
      <w:pPr>
        <w:pStyle w:val="FootnoteText"/>
        <w:jc w:val="both"/>
      </w:pPr>
      <w:r w:rsidRPr="00460D22">
        <w:t>(ii) 10% početne vrijednosti ugovora za uslugu i robe i ispod 15% početne vrijednosti ugovora o radovima, i</w:t>
      </w:r>
    </w:p>
    <w:p w14:paraId="6D2ABAE8" w14:textId="77777777" w:rsidR="00C45EE6" w:rsidRPr="001C1AA6" w:rsidRDefault="00C45EE6" w:rsidP="00C45EE6">
      <w:pPr>
        <w:pStyle w:val="FootnoteText"/>
        <w:jc w:val="both"/>
      </w:pPr>
      <w:r w:rsidRPr="00460D22">
        <w:t>b) izmjena ne mijenja ukupnu prirodu, ugovor ili okvirni sporazum</w:t>
      </w:r>
    </w:p>
  </w:footnote>
  <w:footnote w:id="10">
    <w:p w14:paraId="1B515A3C" w14:textId="77777777" w:rsidR="00C45EE6" w:rsidRPr="00460D22" w:rsidRDefault="00C45EE6" w:rsidP="00C45EE6">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olor w:val="44546A"/>
          <w:szCs w:val="20"/>
        </w:rPr>
        <w:footnoteRef/>
      </w:r>
      <w:r w:rsidRPr="00460D22">
        <w:rPr>
          <w:rFonts w:ascii="Times New Roman" w:hAnsi="Times New Roman"/>
          <w:color w:val="44546A"/>
          <w:sz w:val="20"/>
          <w:szCs w:val="20"/>
        </w:rPr>
        <w:t xml:space="preserve"> </w:t>
      </w:r>
      <w:r w:rsidRPr="00460D22">
        <w:rPr>
          <w:rFonts w:ascii="Times New Roman" w:hAnsi="Times New Roman"/>
          <w:sz w:val="20"/>
          <w:szCs w:val="20"/>
        </w:rPr>
        <w:t>Ograničeni stupanj fleksibilnosti se može primijeniti na izmjene ugovora nakon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1">
    <w:p w14:paraId="1AFF5E54" w14:textId="77777777" w:rsidR="00C45EE6" w:rsidRPr="004C1A12" w:rsidRDefault="00C45EE6" w:rsidP="00C45EE6">
      <w:pPr>
        <w:pStyle w:val="FootnoteText"/>
      </w:pPr>
      <w:r w:rsidRPr="004C1A12">
        <w:rPr>
          <w:rStyle w:val="FootnoteReference"/>
        </w:rPr>
        <w:footnoteRef/>
      </w:r>
      <w:r w:rsidRPr="004C1A12">
        <w:t xml:space="preserve"> Čl. 39. ZJN-a dužni su primjenjivati bez obzira na procijenjenu vrijednost nabave</w:t>
      </w:r>
      <w:r>
        <w:t>.</w:t>
      </w:r>
    </w:p>
  </w:footnote>
  <w:footnote w:id="12">
    <w:p w14:paraId="51D28EA3" w14:textId="77777777" w:rsidR="00C45EE6" w:rsidRPr="000266C6" w:rsidRDefault="00C45EE6" w:rsidP="00C45EE6">
      <w:pPr>
        <w:pStyle w:val="FootnoteText"/>
      </w:pPr>
      <w:r w:rsidRPr="004C1A12">
        <w:rPr>
          <w:rStyle w:val="FootnoteReference"/>
        </w:rPr>
        <w:footnoteRef/>
      </w:r>
      <w:r w:rsidRPr="004C1A12">
        <w:t xml:space="preserve"> </w:t>
      </w:r>
      <w:r w:rsidRPr="004C1A12">
        <w:rPr>
          <w:color w:val="212121"/>
        </w:rPr>
        <w:t>Financijska korekcija se primjenjuje na ukupni iznos svih ugovora koji su umjetno podijeljeni</w:t>
      </w:r>
      <w:r>
        <w:rPr>
          <w:color w:val="212121"/>
        </w:rPr>
        <w:t xml:space="preserve"> osim onih koji su imali jednaku razinu transparentnosti poziva koju bi morali imati i da je postupak ispravno proveden</w:t>
      </w:r>
      <w:r w:rsidRPr="004C1A12">
        <w:rPr>
          <w:color w:val="212121"/>
        </w:rPr>
        <w:t>.</w:t>
      </w:r>
    </w:p>
  </w:footnote>
  <w:footnote w:id="13">
    <w:p w14:paraId="15B6E00E" w14:textId="77777777" w:rsidR="00C45EE6" w:rsidRPr="002C2F76" w:rsidRDefault="00C45EE6" w:rsidP="00C45EE6">
      <w:pPr>
        <w:pStyle w:val="FootnoteText"/>
        <w:jc w:val="both"/>
      </w:pPr>
      <w:r w:rsidRPr="00526530">
        <w:rPr>
          <w:rStyle w:val="FootnoteReference"/>
        </w:rPr>
        <w:footnoteRef/>
      </w:r>
      <w:r w:rsidRPr="00526530">
        <w:t xml:space="preserve"> 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4">
    <w:p w14:paraId="23BE2E96" w14:textId="77777777" w:rsidR="00C45EE6" w:rsidRDefault="00C45EE6" w:rsidP="00C45EE6">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5">
    <w:p w14:paraId="520DFE7E" w14:textId="77777777" w:rsidR="00C45EE6" w:rsidRPr="0098227B" w:rsidRDefault="00C45EE6" w:rsidP="00C45EE6">
      <w:pPr>
        <w:pStyle w:val="FootnoteText"/>
      </w:pPr>
      <w:r>
        <w:rPr>
          <w:rStyle w:val="FootnoteReference"/>
        </w:rPr>
        <w:footnoteRef/>
      </w:r>
      <w:r>
        <w:t xml:space="preserve"> Primjenjuje se na obveznike i neobveznike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0E20" w14:textId="77777777" w:rsidR="00C45EE6" w:rsidRPr="00C45EE6" w:rsidRDefault="00C45EE6" w:rsidP="00C45EE6">
    <w:pPr>
      <w:tabs>
        <w:tab w:val="center" w:pos="4536"/>
        <w:tab w:val="right" w:pos="9072"/>
        <w:tab w:val="right" w:pos="9360"/>
      </w:tabs>
      <w:spacing w:after="0" w:line="240" w:lineRule="auto"/>
      <w:rPr>
        <w:rFonts w:ascii="Times New Roman" w:eastAsia="Calibri" w:hAnsi="Times New Roman"/>
      </w:rPr>
    </w:pPr>
    <w:r w:rsidRPr="00C45EE6">
      <w:rPr>
        <w:rFonts w:eastAsia="Calibri"/>
        <w:noProof/>
        <w:lang w:val="en-US"/>
      </w:rPr>
      <w:drawing>
        <wp:inline distT="0" distB="0" distL="0" distR="0" wp14:anchorId="4A398AFC" wp14:editId="1C95C99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45EE6">
      <w:rPr>
        <w:rFonts w:eastAsia="Calibri"/>
        <w:noProof/>
        <w:lang w:eastAsia="hr-HR"/>
      </w:rPr>
      <w:t xml:space="preserve">                            </w:t>
    </w:r>
    <w:r w:rsidRPr="00C45EE6">
      <w:rPr>
        <w:rFonts w:ascii="Times New Roman" w:eastAsia="Calibri" w:hAnsi="Times New Roman"/>
        <w:noProof/>
        <w:lang w:val="en-US"/>
      </w:rPr>
      <w:drawing>
        <wp:inline distT="0" distB="0" distL="0" distR="0" wp14:anchorId="3962F90D" wp14:editId="24F929BD">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r w:rsidRPr="00C45EE6">
      <w:rPr>
        <w:rFonts w:eastAsia="Calibri"/>
        <w:noProof/>
        <w:lang w:eastAsia="hr-HR"/>
      </w:rPr>
      <w:tab/>
    </w:r>
    <w:r w:rsidRPr="00C45EE6">
      <w:rPr>
        <w:rFonts w:eastAsia="Calibri"/>
        <w:noProof/>
        <w:lang w:eastAsia="hr-HR"/>
      </w:rPr>
      <w:tab/>
    </w:r>
  </w:p>
  <w:p w14:paraId="35E74E8B" w14:textId="77777777" w:rsidR="00C45EE6" w:rsidRDefault="00C45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7"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2"/>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0"/>
  </w:num>
  <w:num w:numId="11">
    <w:abstractNumId w:val="11"/>
  </w:num>
  <w:num w:numId="12">
    <w:abstractNumId w:val="1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D8"/>
    <w:rsid w:val="00002DF2"/>
    <w:rsid w:val="00020E6F"/>
    <w:rsid w:val="000249C9"/>
    <w:rsid w:val="00042310"/>
    <w:rsid w:val="00053E99"/>
    <w:rsid w:val="000560F5"/>
    <w:rsid w:val="00070EBC"/>
    <w:rsid w:val="00080C31"/>
    <w:rsid w:val="00082F3F"/>
    <w:rsid w:val="00091B23"/>
    <w:rsid w:val="00092936"/>
    <w:rsid w:val="00097279"/>
    <w:rsid w:val="000A20D5"/>
    <w:rsid w:val="000A29F6"/>
    <w:rsid w:val="000A6795"/>
    <w:rsid w:val="000A68C3"/>
    <w:rsid w:val="000A73B0"/>
    <w:rsid w:val="000B3E94"/>
    <w:rsid w:val="000C178B"/>
    <w:rsid w:val="000C657A"/>
    <w:rsid w:val="000D12F4"/>
    <w:rsid w:val="000E24C3"/>
    <w:rsid w:val="000E2867"/>
    <w:rsid w:val="000E53AB"/>
    <w:rsid w:val="000F1F58"/>
    <w:rsid w:val="000F205E"/>
    <w:rsid w:val="000F3FA1"/>
    <w:rsid w:val="000F6C20"/>
    <w:rsid w:val="0010499A"/>
    <w:rsid w:val="00105601"/>
    <w:rsid w:val="00110546"/>
    <w:rsid w:val="00111FBE"/>
    <w:rsid w:val="001220E4"/>
    <w:rsid w:val="001230EC"/>
    <w:rsid w:val="001235C8"/>
    <w:rsid w:val="0012773D"/>
    <w:rsid w:val="00144305"/>
    <w:rsid w:val="001528F3"/>
    <w:rsid w:val="00153CCE"/>
    <w:rsid w:val="0015615A"/>
    <w:rsid w:val="001572C0"/>
    <w:rsid w:val="00165A9C"/>
    <w:rsid w:val="001677EF"/>
    <w:rsid w:val="00172526"/>
    <w:rsid w:val="001741B2"/>
    <w:rsid w:val="00185D64"/>
    <w:rsid w:val="00187A90"/>
    <w:rsid w:val="00191320"/>
    <w:rsid w:val="00192E02"/>
    <w:rsid w:val="0019364A"/>
    <w:rsid w:val="00193EA5"/>
    <w:rsid w:val="001B4B86"/>
    <w:rsid w:val="001B6DA9"/>
    <w:rsid w:val="001C7498"/>
    <w:rsid w:val="001C7691"/>
    <w:rsid w:val="001D01F8"/>
    <w:rsid w:val="001D252D"/>
    <w:rsid w:val="001D4D97"/>
    <w:rsid w:val="001D5962"/>
    <w:rsid w:val="001D6AFF"/>
    <w:rsid w:val="001E5830"/>
    <w:rsid w:val="001E7E6E"/>
    <w:rsid w:val="001F0A07"/>
    <w:rsid w:val="001F202C"/>
    <w:rsid w:val="00202273"/>
    <w:rsid w:val="0020325C"/>
    <w:rsid w:val="00213889"/>
    <w:rsid w:val="002143D5"/>
    <w:rsid w:val="0021799A"/>
    <w:rsid w:val="00220BC9"/>
    <w:rsid w:val="00221627"/>
    <w:rsid w:val="0022416D"/>
    <w:rsid w:val="002246DE"/>
    <w:rsid w:val="00243843"/>
    <w:rsid w:val="002518F7"/>
    <w:rsid w:val="00257143"/>
    <w:rsid w:val="0026090A"/>
    <w:rsid w:val="0027338D"/>
    <w:rsid w:val="00273BBB"/>
    <w:rsid w:val="002759D4"/>
    <w:rsid w:val="00281362"/>
    <w:rsid w:val="00286B56"/>
    <w:rsid w:val="00293049"/>
    <w:rsid w:val="00293456"/>
    <w:rsid w:val="002A746F"/>
    <w:rsid w:val="002A7EE5"/>
    <w:rsid w:val="002B145E"/>
    <w:rsid w:val="002C2441"/>
    <w:rsid w:val="002C2893"/>
    <w:rsid w:val="002C68B3"/>
    <w:rsid w:val="002C7589"/>
    <w:rsid w:val="002D23FC"/>
    <w:rsid w:val="002D7B4D"/>
    <w:rsid w:val="002E27D4"/>
    <w:rsid w:val="002F7460"/>
    <w:rsid w:val="0030447A"/>
    <w:rsid w:val="00305CE4"/>
    <w:rsid w:val="00310480"/>
    <w:rsid w:val="0031167C"/>
    <w:rsid w:val="00313025"/>
    <w:rsid w:val="00313CC4"/>
    <w:rsid w:val="00325DAB"/>
    <w:rsid w:val="00337283"/>
    <w:rsid w:val="003473EC"/>
    <w:rsid w:val="00351B85"/>
    <w:rsid w:val="00355DD6"/>
    <w:rsid w:val="0035707D"/>
    <w:rsid w:val="00357D3F"/>
    <w:rsid w:val="00374DD0"/>
    <w:rsid w:val="003812CA"/>
    <w:rsid w:val="003A05B5"/>
    <w:rsid w:val="003A1A46"/>
    <w:rsid w:val="003B441A"/>
    <w:rsid w:val="003C07A7"/>
    <w:rsid w:val="003C1A57"/>
    <w:rsid w:val="003C36A2"/>
    <w:rsid w:val="003C7B3C"/>
    <w:rsid w:val="003D1952"/>
    <w:rsid w:val="003D26D8"/>
    <w:rsid w:val="003D2A0C"/>
    <w:rsid w:val="003E00FE"/>
    <w:rsid w:val="003E08C5"/>
    <w:rsid w:val="003E4A43"/>
    <w:rsid w:val="003E5B39"/>
    <w:rsid w:val="003F27F2"/>
    <w:rsid w:val="00401BED"/>
    <w:rsid w:val="00401C82"/>
    <w:rsid w:val="004144B9"/>
    <w:rsid w:val="00414D67"/>
    <w:rsid w:val="00424AE5"/>
    <w:rsid w:val="004341D9"/>
    <w:rsid w:val="0043439A"/>
    <w:rsid w:val="004360B9"/>
    <w:rsid w:val="00437138"/>
    <w:rsid w:val="0044120D"/>
    <w:rsid w:val="00444EF5"/>
    <w:rsid w:val="00452F91"/>
    <w:rsid w:val="00457339"/>
    <w:rsid w:val="00463D81"/>
    <w:rsid w:val="0047556F"/>
    <w:rsid w:val="0047673F"/>
    <w:rsid w:val="004767D6"/>
    <w:rsid w:val="004A5C4F"/>
    <w:rsid w:val="004A7C12"/>
    <w:rsid w:val="004B40D7"/>
    <w:rsid w:val="004C4154"/>
    <w:rsid w:val="004C4B23"/>
    <w:rsid w:val="004C7D80"/>
    <w:rsid w:val="004D1FE6"/>
    <w:rsid w:val="004D3543"/>
    <w:rsid w:val="004D38DB"/>
    <w:rsid w:val="004D56A3"/>
    <w:rsid w:val="004D7899"/>
    <w:rsid w:val="004F693C"/>
    <w:rsid w:val="004F7A84"/>
    <w:rsid w:val="0050611B"/>
    <w:rsid w:val="00522153"/>
    <w:rsid w:val="00527F81"/>
    <w:rsid w:val="00530716"/>
    <w:rsid w:val="005340FE"/>
    <w:rsid w:val="005420EC"/>
    <w:rsid w:val="00547DFF"/>
    <w:rsid w:val="0056382D"/>
    <w:rsid w:val="00571D6D"/>
    <w:rsid w:val="0057491A"/>
    <w:rsid w:val="00585493"/>
    <w:rsid w:val="00590CC8"/>
    <w:rsid w:val="005911DB"/>
    <w:rsid w:val="00593BF9"/>
    <w:rsid w:val="005A3642"/>
    <w:rsid w:val="005A4E9C"/>
    <w:rsid w:val="005B624A"/>
    <w:rsid w:val="005D5E1B"/>
    <w:rsid w:val="005E638A"/>
    <w:rsid w:val="005F1DEB"/>
    <w:rsid w:val="005F3257"/>
    <w:rsid w:val="005F37FD"/>
    <w:rsid w:val="005F7F86"/>
    <w:rsid w:val="00601335"/>
    <w:rsid w:val="00616463"/>
    <w:rsid w:val="00616604"/>
    <w:rsid w:val="006206B0"/>
    <w:rsid w:val="00630E99"/>
    <w:rsid w:val="00641308"/>
    <w:rsid w:val="0064300D"/>
    <w:rsid w:val="00647168"/>
    <w:rsid w:val="00656297"/>
    <w:rsid w:val="00672430"/>
    <w:rsid w:val="00685486"/>
    <w:rsid w:val="00687D10"/>
    <w:rsid w:val="00692FE9"/>
    <w:rsid w:val="0069404E"/>
    <w:rsid w:val="006A39DC"/>
    <w:rsid w:val="006A3DCD"/>
    <w:rsid w:val="006B0B98"/>
    <w:rsid w:val="006B195C"/>
    <w:rsid w:val="006B215D"/>
    <w:rsid w:val="006B2D0E"/>
    <w:rsid w:val="006B6C9C"/>
    <w:rsid w:val="006C4DCA"/>
    <w:rsid w:val="006D3929"/>
    <w:rsid w:val="006E1B83"/>
    <w:rsid w:val="006E2C76"/>
    <w:rsid w:val="006E362B"/>
    <w:rsid w:val="006E5F19"/>
    <w:rsid w:val="006E6BB2"/>
    <w:rsid w:val="006E6FF2"/>
    <w:rsid w:val="00700EED"/>
    <w:rsid w:val="00706347"/>
    <w:rsid w:val="00710ACD"/>
    <w:rsid w:val="007275E0"/>
    <w:rsid w:val="00743268"/>
    <w:rsid w:val="0074423D"/>
    <w:rsid w:val="0074554D"/>
    <w:rsid w:val="00754CB0"/>
    <w:rsid w:val="00765B0C"/>
    <w:rsid w:val="007668D1"/>
    <w:rsid w:val="007747CE"/>
    <w:rsid w:val="00781437"/>
    <w:rsid w:val="00792BE3"/>
    <w:rsid w:val="00794646"/>
    <w:rsid w:val="007A0155"/>
    <w:rsid w:val="007B0B04"/>
    <w:rsid w:val="007B5E5C"/>
    <w:rsid w:val="007D1082"/>
    <w:rsid w:val="007D26E1"/>
    <w:rsid w:val="007D49AC"/>
    <w:rsid w:val="007E29ED"/>
    <w:rsid w:val="007E513E"/>
    <w:rsid w:val="007F1092"/>
    <w:rsid w:val="007F4B4A"/>
    <w:rsid w:val="007F6ADC"/>
    <w:rsid w:val="0080292D"/>
    <w:rsid w:val="0080446A"/>
    <w:rsid w:val="00830048"/>
    <w:rsid w:val="00830130"/>
    <w:rsid w:val="00837108"/>
    <w:rsid w:val="00837FB9"/>
    <w:rsid w:val="00844517"/>
    <w:rsid w:val="008502A7"/>
    <w:rsid w:val="0085585C"/>
    <w:rsid w:val="008651BA"/>
    <w:rsid w:val="0086616F"/>
    <w:rsid w:val="008673C2"/>
    <w:rsid w:val="00870F0C"/>
    <w:rsid w:val="00872D3A"/>
    <w:rsid w:val="00880370"/>
    <w:rsid w:val="00881804"/>
    <w:rsid w:val="00882D58"/>
    <w:rsid w:val="00893AAD"/>
    <w:rsid w:val="00894CAC"/>
    <w:rsid w:val="0089629F"/>
    <w:rsid w:val="008A3E94"/>
    <w:rsid w:val="008A7DC0"/>
    <w:rsid w:val="008B3FDA"/>
    <w:rsid w:val="008B6AC3"/>
    <w:rsid w:val="008B70BC"/>
    <w:rsid w:val="008D01A3"/>
    <w:rsid w:val="008D5DF4"/>
    <w:rsid w:val="008E4C41"/>
    <w:rsid w:val="008F1C28"/>
    <w:rsid w:val="008F20BA"/>
    <w:rsid w:val="008F5589"/>
    <w:rsid w:val="00901582"/>
    <w:rsid w:val="0090392E"/>
    <w:rsid w:val="0091655C"/>
    <w:rsid w:val="009169D7"/>
    <w:rsid w:val="00920F95"/>
    <w:rsid w:val="00925317"/>
    <w:rsid w:val="009335F4"/>
    <w:rsid w:val="00935E59"/>
    <w:rsid w:val="00942D4A"/>
    <w:rsid w:val="009609EE"/>
    <w:rsid w:val="009723AA"/>
    <w:rsid w:val="009800C1"/>
    <w:rsid w:val="009805C2"/>
    <w:rsid w:val="00983069"/>
    <w:rsid w:val="009A2CFF"/>
    <w:rsid w:val="009A456A"/>
    <w:rsid w:val="009A5AE3"/>
    <w:rsid w:val="009A7E86"/>
    <w:rsid w:val="009C08C2"/>
    <w:rsid w:val="009D16BA"/>
    <w:rsid w:val="009D37CB"/>
    <w:rsid w:val="009D495C"/>
    <w:rsid w:val="009E1471"/>
    <w:rsid w:val="009F345B"/>
    <w:rsid w:val="009F34C8"/>
    <w:rsid w:val="00A02470"/>
    <w:rsid w:val="00A22E7F"/>
    <w:rsid w:val="00A23760"/>
    <w:rsid w:val="00A27FA8"/>
    <w:rsid w:val="00A32F72"/>
    <w:rsid w:val="00A3587B"/>
    <w:rsid w:val="00A37C3D"/>
    <w:rsid w:val="00A419E8"/>
    <w:rsid w:val="00A57CB4"/>
    <w:rsid w:val="00A601C5"/>
    <w:rsid w:val="00A64959"/>
    <w:rsid w:val="00A65272"/>
    <w:rsid w:val="00A6534C"/>
    <w:rsid w:val="00A6780F"/>
    <w:rsid w:val="00A67DB1"/>
    <w:rsid w:val="00A77A15"/>
    <w:rsid w:val="00A832B2"/>
    <w:rsid w:val="00A96387"/>
    <w:rsid w:val="00AA3442"/>
    <w:rsid w:val="00AA5365"/>
    <w:rsid w:val="00AA5E85"/>
    <w:rsid w:val="00AB6DDE"/>
    <w:rsid w:val="00AC0D87"/>
    <w:rsid w:val="00AC1AAA"/>
    <w:rsid w:val="00AC33D2"/>
    <w:rsid w:val="00AD4720"/>
    <w:rsid w:val="00AD527D"/>
    <w:rsid w:val="00AD5B0A"/>
    <w:rsid w:val="00AD71BC"/>
    <w:rsid w:val="00AE02F8"/>
    <w:rsid w:val="00AE3025"/>
    <w:rsid w:val="00AE43BF"/>
    <w:rsid w:val="00AF0C2F"/>
    <w:rsid w:val="00AF39FD"/>
    <w:rsid w:val="00AF64D6"/>
    <w:rsid w:val="00AF7D03"/>
    <w:rsid w:val="00B035F5"/>
    <w:rsid w:val="00B050B0"/>
    <w:rsid w:val="00B06411"/>
    <w:rsid w:val="00B14B71"/>
    <w:rsid w:val="00B15574"/>
    <w:rsid w:val="00B2518E"/>
    <w:rsid w:val="00B3021B"/>
    <w:rsid w:val="00B304AB"/>
    <w:rsid w:val="00B4431A"/>
    <w:rsid w:val="00B51698"/>
    <w:rsid w:val="00B54741"/>
    <w:rsid w:val="00B56654"/>
    <w:rsid w:val="00B6381A"/>
    <w:rsid w:val="00B71A55"/>
    <w:rsid w:val="00B73000"/>
    <w:rsid w:val="00B83476"/>
    <w:rsid w:val="00B8419D"/>
    <w:rsid w:val="00B84280"/>
    <w:rsid w:val="00B873FC"/>
    <w:rsid w:val="00B915C4"/>
    <w:rsid w:val="00B93157"/>
    <w:rsid w:val="00B94033"/>
    <w:rsid w:val="00B96156"/>
    <w:rsid w:val="00BA25BE"/>
    <w:rsid w:val="00BA6E68"/>
    <w:rsid w:val="00BB31A7"/>
    <w:rsid w:val="00BC0AD5"/>
    <w:rsid w:val="00BD15AE"/>
    <w:rsid w:val="00BD4C1B"/>
    <w:rsid w:val="00BD6662"/>
    <w:rsid w:val="00BD66FD"/>
    <w:rsid w:val="00BE4748"/>
    <w:rsid w:val="00BE7396"/>
    <w:rsid w:val="00BF0B92"/>
    <w:rsid w:val="00BF2B4F"/>
    <w:rsid w:val="00C07AF4"/>
    <w:rsid w:val="00C1682F"/>
    <w:rsid w:val="00C2701C"/>
    <w:rsid w:val="00C27A4A"/>
    <w:rsid w:val="00C429D8"/>
    <w:rsid w:val="00C437FF"/>
    <w:rsid w:val="00C457E7"/>
    <w:rsid w:val="00C45EE6"/>
    <w:rsid w:val="00C4757E"/>
    <w:rsid w:val="00C50AEA"/>
    <w:rsid w:val="00C514E6"/>
    <w:rsid w:val="00C60187"/>
    <w:rsid w:val="00C64D8B"/>
    <w:rsid w:val="00C74FE5"/>
    <w:rsid w:val="00C82011"/>
    <w:rsid w:val="00C83CA5"/>
    <w:rsid w:val="00C86C8D"/>
    <w:rsid w:val="00C87793"/>
    <w:rsid w:val="00C959F3"/>
    <w:rsid w:val="00C97FE9"/>
    <w:rsid w:val="00CA13D3"/>
    <w:rsid w:val="00CB2200"/>
    <w:rsid w:val="00CB622E"/>
    <w:rsid w:val="00CC41B5"/>
    <w:rsid w:val="00CC7449"/>
    <w:rsid w:val="00CD2804"/>
    <w:rsid w:val="00CD2892"/>
    <w:rsid w:val="00CE785D"/>
    <w:rsid w:val="00CF0272"/>
    <w:rsid w:val="00CF2197"/>
    <w:rsid w:val="00D01E6F"/>
    <w:rsid w:val="00D025FE"/>
    <w:rsid w:val="00D04997"/>
    <w:rsid w:val="00D155AC"/>
    <w:rsid w:val="00D16F11"/>
    <w:rsid w:val="00D2375D"/>
    <w:rsid w:val="00D24259"/>
    <w:rsid w:val="00D249ED"/>
    <w:rsid w:val="00D26388"/>
    <w:rsid w:val="00D3504A"/>
    <w:rsid w:val="00D431AA"/>
    <w:rsid w:val="00D6334D"/>
    <w:rsid w:val="00D661F0"/>
    <w:rsid w:val="00D74045"/>
    <w:rsid w:val="00D74613"/>
    <w:rsid w:val="00D814F2"/>
    <w:rsid w:val="00D82F96"/>
    <w:rsid w:val="00D8375B"/>
    <w:rsid w:val="00D92AA8"/>
    <w:rsid w:val="00DA3815"/>
    <w:rsid w:val="00DB1B48"/>
    <w:rsid w:val="00DB2058"/>
    <w:rsid w:val="00DC0E93"/>
    <w:rsid w:val="00DC13B8"/>
    <w:rsid w:val="00DC248C"/>
    <w:rsid w:val="00DC300B"/>
    <w:rsid w:val="00DC7A9F"/>
    <w:rsid w:val="00DD2ACC"/>
    <w:rsid w:val="00DE667B"/>
    <w:rsid w:val="00DF037F"/>
    <w:rsid w:val="00DF6F2B"/>
    <w:rsid w:val="00E00583"/>
    <w:rsid w:val="00E12379"/>
    <w:rsid w:val="00E142DC"/>
    <w:rsid w:val="00E16D1F"/>
    <w:rsid w:val="00E253D6"/>
    <w:rsid w:val="00E3408A"/>
    <w:rsid w:val="00E43782"/>
    <w:rsid w:val="00E4744C"/>
    <w:rsid w:val="00E479CA"/>
    <w:rsid w:val="00E57C6B"/>
    <w:rsid w:val="00E64BEB"/>
    <w:rsid w:val="00E7395A"/>
    <w:rsid w:val="00E80855"/>
    <w:rsid w:val="00E80D87"/>
    <w:rsid w:val="00E90F58"/>
    <w:rsid w:val="00E94A55"/>
    <w:rsid w:val="00E94EC6"/>
    <w:rsid w:val="00E94F6A"/>
    <w:rsid w:val="00EA53C9"/>
    <w:rsid w:val="00EA70C3"/>
    <w:rsid w:val="00EA70D7"/>
    <w:rsid w:val="00EB1834"/>
    <w:rsid w:val="00EB1D88"/>
    <w:rsid w:val="00EC2165"/>
    <w:rsid w:val="00ED1D16"/>
    <w:rsid w:val="00ED2251"/>
    <w:rsid w:val="00EE264A"/>
    <w:rsid w:val="00EE4804"/>
    <w:rsid w:val="00EF07C2"/>
    <w:rsid w:val="00EF3B1C"/>
    <w:rsid w:val="00EF565D"/>
    <w:rsid w:val="00F01E34"/>
    <w:rsid w:val="00F11DE6"/>
    <w:rsid w:val="00F13EF3"/>
    <w:rsid w:val="00F222C2"/>
    <w:rsid w:val="00F230A7"/>
    <w:rsid w:val="00F2324E"/>
    <w:rsid w:val="00F2475D"/>
    <w:rsid w:val="00F2623F"/>
    <w:rsid w:val="00F271A3"/>
    <w:rsid w:val="00F32EDD"/>
    <w:rsid w:val="00F33AC5"/>
    <w:rsid w:val="00F3643E"/>
    <w:rsid w:val="00F466C0"/>
    <w:rsid w:val="00F47DBD"/>
    <w:rsid w:val="00F57168"/>
    <w:rsid w:val="00F61DE7"/>
    <w:rsid w:val="00F721C9"/>
    <w:rsid w:val="00F817F5"/>
    <w:rsid w:val="00F9342A"/>
    <w:rsid w:val="00FA0BED"/>
    <w:rsid w:val="00FA323F"/>
    <w:rsid w:val="00FA58E7"/>
    <w:rsid w:val="00FA610D"/>
    <w:rsid w:val="00FA7060"/>
    <w:rsid w:val="00FA7802"/>
    <w:rsid w:val="00FB0BBD"/>
    <w:rsid w:val="00FC04C8"/>
    <w:rsid w:val="00FC2096"/>
    <w:rsid w:val="00FC4488"/>
    <w:rsid w:val="00FC4A51"/>
    <w:rsid w:val="00FE02C4"/>
    <w:rsid w:val="00FE115A"/>
    <w:rsid w:val="00FE1A48"/>
    <w:rsid w:val="00FE2568"/>
    <w:rsid w:val="00FE2DB5"/>
    <w:rsid w:val="00FE7B36"/>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C40B88"/>
  <w15:docId w15:val="{3EF6BD72-61E7-49B9-B424-CC042EC0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E785D"/>
    <w:pPr>
      <w:spacing w:after="0" w:line="240" w:lineRule="auto"/>
    </w:pPr>
    <w:rPr>
      <w:rFonts w:eastAsia="Calibri"/>
      <w:sz w:val="20"/>
      <w:szCs w:val="20"/>
      <w:lang w:eastAsia="hr-HR"/>
    </w:rPr>
  </w:style>
  <w:style w:type="character" w:customStyle="1" w:styleId="FootnoteTextChar">
    <w:name w:val="Footnote Text Char"/>
    <w:link w:val="FootnoteText"/>
    <w:uiPriority w:val="99"/>
    <w:locked/>
    <w:rsid w:val="00CE785D"/>
    <w:rPr>
      <w:sz w:val="20"/>
    </w:rPr>
  </w:style>
  <w:style w:type="character" w:styleId="FootnoteReference">
    <w:name w:val="footnote reference"/>
    <w:aliases w:val="BVI fnr,ftref,Footnote symbol,BVI fnr Car Car,BVI fnr Car,BVI fnr Car Car Car Car,BVI fnr Car Car Car Car Char,Footnote Reference Number"/>
    <w:link w:val="Char2"/>
    <w:uiPriority w:val="99"/>
    <w:locked/>
    <w:rsid w:val="00CE785D"/>
    <w:rPr>
      <w:rFonts w:cs="Times New Roman"/>
      <w:vertAlign w:val="superscript"/>
    </w:rPr>
  </w:style>
  <w:style w:type="paragraph" w:customStyle="1" w:styleId="Char2">
    <w:name w:val="Char2"/>
    <w:basedOn w:val="Normal"/>
    <w:link w:val="FootnoteReference"/>
    <w:uiPriority w:val="99"/>
    <w:rsid w:val="00CE785D"/>
    <w:pPr>
      <w:spacing w:after="160" w:line="240" w:lineRule="exact"/>
    </w:pPr>
    <w:rPr>
      <w:rFonts w:eastAsia="Calibri"/>
      <w:sz w:val="20"/>
      <w:szCs w:val="20"/>
      <w:vertAlign w:val="superscript"/>
      <w:lang w:eastAsia="hr-HR"/>
    </w:rPr>
  </w:style>
  <w:style w:type="paragraph" w:styleId="Header">
    <w:name w:val="header"/>
    <w:basedOn w:val="Normal"/>
    <w:link w:val="Head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HeaderChar">
    <w:name w:val="Header Char"/>
    <w:basedOn w:val="DefaultParagraphFont"/>
    <w:link w:val="Header"/>
    <w:uiPriority w:val="99"/>
    <w:locked/>
    <w:rsid w:val="00616463"/>
  </w:style>
  <w:style w:type="paragraph" w:styleId="Footer">
    <w:name w:val="footer"/>
    <w:basedOn w:val="Normal"/>
    <w:link w:val="Foot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FooterChar">
    <w:name w:val="Footer Char"/>
    <w:basedOn w:val="DefaultParagraphFont"/>
    <w:link w:val="Footer"/>
    <w:uiPriority w:val="99"/>
    <w:locked/>
    <w:rsid w:val="00616463"/>
  </w:style>
  <w:style w:type="paragraph" w:styleId="BalloonText">
    <w:name w:val="Balloon Text"/>
    <w:basedOn w:val="Normal"/>
    <w:link w:val="BalloonTextChar"/>
    <w:uiPriority w:val="99"/>
    <w:semiHidden/>
    <w:rsid w:val="00C83CA5"/>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locked/>
    <w:rsid w:val="00C83CA5"/>
    <w:rPr>
      <w:rFonts w:ascii="Tahoma" w:hAnsi="Tahoma"/>
      <w:sz w:val="16"/>
      <w:lang w:eastAsia="en-US"/>
    </w:rPr>
  </w:style>
  <w:style w:type="character" w:styleId="CommentReference">
    <w:name w:val="annotation reference"/>
    <w:uiPriority w:val="99"/>
    <w:semiHidden/>
    <w:rsid w:val="004C7D80"/>
    <w:rPr>
      <w:rFonts w:cs="Times New Roman"/>
      <w:sz w:val="16"/>
    </w:rPr>
  </w:style>
  <w:style w:type="paragraph" w:styleId="CommentText">
    <w:name w:val="annotation text"/>
    <w:basedOn w:val="Normal"/>
    <w:link w:val="CommentTextChar"/>
    <w:uiPriority w:val="99"/>
    <w:rsid w:val="004C7D80"/>
    <w:pPr>
      <w:spacing w:line="240" w:lineRule="auto"/>
    </w:pPr>
    <w:rPr>
      <w:rFonts w:eastAsia="Calibri"/>
      <w:sz w:val="20"/>
      <w:szCs w:val="20"/>
    </w:rPr>
  </w:style>
  <w:style w:type="character" w:customStyle="1" w:styleId="CommentTextChar">
    <w:name w:val="Comment Text Char"/>
    <w:link w:val="CommentText"/>
    <w:uiPriority w:val="99"/>
    <w:locked/>
    <w:rsid w:val="004C7D80"/>
    <w:rPr>
      <w:sz w:val="20"/>
      <w:lang w:eastAsia="en-US"/>
    </w:rPr>
  </w:style>
  <w:style w:type="paragraph" w:styleId="CommentSubject">
    <w:name w:val="annotation subject"/>
    <w:basedOn w:val="CommentText"/>
    <w:next w:val="CommentText"/>
    <w:link w:val="CommentSubjectChar"/>
    <w:uiPriority w:val="99"/>
    <w:semiHidden/>
    <w:rsid w:val="004C7D80"/>
    <w:rPr>
      <w:b/>
      <w:bCs/>
    </w:rPr>
  </w:style>
  <w:style w:type="character" w:customStyle="1" w:styleId="CommentSubjectChar">
    <w:name w:val="Comment Subject Char"/>
    <w:link w:val="CommentSubject"/>
    <w:uiPriority w:val="99"/>
    <w:semiHidden/>
    <w:locked/>
    <w:rsid w:val="004C7D80"/>
    <w:rPr>
      <w:b/>
      <w:sz w:val="20"/>
      <w:lang w:eastAsia="en-US"/>
    </w:rPr>
  </w:style>
  <w:style w:type="paragraph" w:styleId="ListParagraph">
    <w:name w:val="List Paragraph"/>
    <w:basedOn w:val="Normal"/>
    <w:uiPriority w:val="34"/>
    <w:qFormat/>
    <w:rsid w:val="00B51698"/>
    <w:pPr>
      <w:ind w:left="720"/>
      <w:contextualSpacing/>
    </w:pPr>
  </w:style>
  <w:style w:type="paragraph" w:styleId="Revision">
    <w:name w:val="Revision"/>
    <w:hidden/>
    <w:uiPriority w:val="99"/>
    <w:semiHidden/>
    <w:rsid w:val="00EB1834"/>
    <w:rPr>
      <w:rFonts w:eastAsia="Times New Roman"/>
      <w:sz w:val="22"/>
      <w:szCs w:val="22"/>
      <w:lang w:eastAsia="en-US"/>
    </w:rPr>
  </w:style>
  <w:style w:type="table" w:styleId="TableGrid">
    <w:name w:val="Table Grid"/>
    <w:basedOn w:val="TableNormal"/>
    <w:uiPriority w:val="3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paragraph" w:customStyle="1" w:styleId="CM3">
    <w:name w:val="CM3"/>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character" w:customStyle="1" w:styleId="hps">
    <w:name w:val="hps"/>
    <w:uiPriority w:val="99"/>
    <w:rsid w:val="007B0B04"/>
    <w:rPr>
      <w:rFonts w:cs="Times New Roman"/>
    </w:rPr>
  </w:style>
  <w:style w:type="character" w:customStyle="1" w:styleId="Bodytext285pt">
    <w:name w:val="Body text (2) + 8;5 pt"/>
    <w:basedOn w:val="DefaultParagraphFont"/>
    <w:rsid w:val="008803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customStyle="1" w:styleId="Default">
    <w:name w:val="Default"/>
    <w:rsid w:val="00B94033"/>
    <w:pPr>
      <w:autoSpaceDE w:val="0"/>
      <w:autoSpaceDN w:val="0"/>
      <w:adjustRightInd w:val="0"/>
      <w:spacing w:before="240"/>
    </w:pPr>
    <w:rPr>
      <w:rFonts w:ascii="EUAlbertina" w:eastAsiaTheme="minorHAnsi" w:hAnsi="EUAlbertina" w:cs="EUAlbertina"/>
      <w:color w:val="000000"/>
      <w:sz w:val="24"/>
      <w:szCs w:val="24"/>
      <w:lang w:eastAsia="en-US"/>
    </w:rPr>
  </w:style>
  <w:style w:type="paragraph" w:customStyle="1" w:styleId="xxRulesParagraph">
    <w:name w:val="x.x Rules Paragraph"/>
    <w:basedOn w:val="Normal"/>
    <w:autoRedefine/>
    <w:rsid w:val="00B94033"/>
    <w:pPr>
      <w:tabs>
        <w:tab w:val="left" w:pos="0"/>
        <w:tab w:val="left" w:pos="709"/>
      </w:tabs>
      <w:spacing w:before="240" w:after="0" w:line="240" w:lineRule="auto"/>
      <w:jc w:val="both"/>
    </w:pPr>
    <w:rPr>
      <w:rFonts w:ascii="Lucida Sans Unicode" w:hAnsi="Lucida Sans Unicode" w:cs="Lucida Sans Unicode"/>
      <w:noProof/>
      <w:color w:val="222222"/>
      <w:lang w:val="en-GB"/>
    </w:rPr>
  </w:style>
  <w:style w:type="paragraph" w:styleId="HTMLPreformatted">
    <w:name w:val="HTML Preformatted"/>
    <w:basedOn w:val="Normal"/>
    <w:link w:val="HTMLPreformattedChar"/>
    <w:uiPriority w:val="99"/>
    <w:unhideWhenUsed/>
    <w:rsid w:val="00B94033"/>
    <w:pPr>
      <w:spacing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B94033"/>
    <w:rPr>
      <w:rFonts w:ascii="Consolas" w:eastAsiaTheme="minorHAnsi" w:hAnsi="Consolas" w:cstheme="minorBidi"/>
      <w:lang w:eastAsia="en-US"/>
    </w:rPr>
  </w:style>
  <w:style w:type="paragraph" w:customStyle="1" w:styleId="Text3">
    <w:name w:val="Text 3"/>
    <w:basedOn w:val="Normal"/>
    <w:rsid w:val="00B94033"/>
    <w:pPr>
      <w:tabs>
        <w:tab w:val="left" w:pos="2302"/>
      </w:tabs>
      <w:suppressAutoHyphens/>
      <w:spacing w:after="240" w:line="240" w:lineRule="auto"/>
      <w:ind w:left="1202"/>
      <w:jc w:val="both"/>
    </w:pPr>
    <w:rPr>
      <w:rFonts w:ascii="Times New Roman" w:hAnsi="Times New Roman"/>
      <w:sz w:val="24"/>
      <w:szCs w:val="20"/>
      <w:lang w:val="fr-FR" w:eastAsia="ar-SA"/>
    </w:rPr>
  </w:style>
  <w:style w:type="character" w:customStyle="1" w:styleId="mrppsc">
    <w:name w:val="mrppsc"/>
    <w:basedOn w:val="DefaultParagraphFont"/>
    <w:rsid w:val="00B94033"/>
  </w:style>
  <w:style w:type="paragraph" w:styleId="NoSpacing">
    <w:name w:val="No Spacing"/>
    <w:uiPriority w:val="1"/>
    <w:qFormat/>
    <w:rsid w:val="00B94033"/>
    <w:rPr>
      <w:rFonts w:ascii="Times New Roman" w:eastAsia="Times New Roman" w:hAnsi="Times New Roman"/>
      <w:noProof/>
      <w:sz w:val="24"/>
      <w:szCs w:val="24"/>
      <w:lang w:eastAsia="en-US"/>
    </w:rPr>
  </w:style>
  <w:style w:type="character" w:styleId="IntenseReference">
    <w:name w:val="Intense Reference"/>
    <w:basedOn w:val="DefaultParagraphFont"/>
    <w:uiPriority w:val="32"/>
    <w:qFormat/>
    <w:rsid w:val="00B94033"/>
    <w:rPr>
      <w:b/>
      <w:bCs/>
      <w:smallCaps/>
      <w:color w:val="4F81BD" w:themeColor="accent1"/>
      <w:spacing w:val="5"/>
    </w:rPr>
  </w:style>
  <w:style w:type="paragraph" w:customStyle="1" w:styleId="box453040">
    <w:name w:val="box_453040"/>
    <w:basedOn w:val="Normal"/>
    <w:rsid w:val="00B94033"/>
    <w:pPr>
      <w:spacing w:before="100" w:beforeAutospacing="1" w:after="100" w:afterAutospacing="1" w:line="240" w:lineRule="auto"/>
    </w:pPr>
    <w:rPr>
      <w:rFonts w:ascii="Times New Roman" w:hAnsi="Times New Roman"/>
      <w:sz w:val="24"/>
      <w:szCs w:val="24"/>
      <w:lang w:eastAsia="hr-HR"/>
    </w:rPr>
  </w:style>
  <w:style w:type="character" w:customStyle="1" w:styleId="apple-converted-space">
    <w:name w:val="apple-converted-space"/>
    <w:basedOn w:val="DefaultParagraphFont"/>
    <w:rsid w:val="00B94033"/>
  </w:style>
  <w:style w:type="numbering" w:customStyle="1" w:styleId="NoList1">
    <w:name w:val="No List1"/>
    <w:next w:val="NoList"/>
    <w:uiPriority w:val="99"/>
    <w:semiHidden/>
    <w:unhideWhenUsed/>
    <w:rsid w:val="00B94033"/>
  </w:style>
  <w:style w:type="character" w:styleId="Hyperlink">
    <w:name w:val="Hyperlink"/>
    <w:basedOn w:val="DefaultParagraphFont"/>
    <w:uiPriority w:val="99"/>
    <w:unhideWhenUsed/>
    <w:rsid w:val="00B94033"/>
    <w:rPr>
      <w:color w:val="0000FF" w:themeColor="hyperlink"/>
      <w:u w:val="single"/>
    </w:rPr>
  </w:style>
  <w:style w:type="character" w:styleId="Emphasis">
    <w:name w:val="Emphasis"/>
    <w:basedOn w:val="DefaultParagraphFont"/>
    <w:uiPriority w:val="20"/>
    <w:qFormat/>
    <w:locked/>
    <w:rsid w:val="00B94033"/>
    <w:rPr>
      <w:i/>
      <w:iCs/>
    </w:rPr>
  </w:style>
  <w:style w:type="paragraph" w:styleId="NormalWeb">
    <w:name w:val="Normal (Web)"/>
    <w:basedOn w:val="Normal"/>
    <w:uiPriority w:val="99"/>
    <w:semiHidden/>
    <w:unhideWhenUsed/>
    <w:rsid w:val="00B94033"/>
    <w:pPr>
      <w:spacing w:before="240" w:after="240" w:line="240" w:lineRule="auto"/>
    </w:pPr>
    <w:rPr>
      <w:rFonts w:ascii="Times New Roman" w:eastAsiaTheme="minorHAnsi" w:hAnsi="Times New Roman"/>
      <w:sz w:val="24"/>
      <w:szCs w:val="24"/>
    </w:rPr>
  </w:style>
  <w:style w:type="numbering" w:customStyle="1" w:styleId="NoList2">
    <w:name w:val="No List2"/>
    <w:next w:val="NoList"/>
    <w:uiPriority w:val="99"/>
    <w:semiHidden/>
    <w:unhideWhenUsed/>
    <w:rsid w:val="00C45EE6"/>
  </w:style>
  <w:style w:type="numbering" w:customStyle="1" w:styleId="NoList11">
    <w:name w:val="No List11"/>
    <w:next w:val="NoList"/>
    <w:uiPriority w:val="99"/>
    <w:semiHidden/>
    <w:unhideWhenUsed/>
    <w:rsid w:val="00C45EE6"/>
  </w:style>
  <w:style w:type="table" w:customStyle="1" w:styleId="TableGrid1">
    <w:name w:val="Table Grid1"/>
    <w:basedOn w:val="TableNormal"/>
    <w:next w:val="TableGrid"/>
    <w:uiPriority w:val="39"/>
    <w:rsid w:val="00C45EE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870895">
      <w:bodyDiv w:val="1"/>
      <w:marLeft w:val="0"/>
      <w:marRight w:val="0"/>
      <w:marTop w:val="0"/>
      <w:marBottom w:val="0"/>
      <w:divBdr>
        <w:top w:val="none" w:sz="0" w:space="0" w:color="auto"/>
        <w:left w:val="none" w:sz="0" w:space="0" w:color="auto"/>
        <w:bottom w:val="none" w:sz="0" w:space="0" w:color="auto"/>
        <w:right w:val="none" w:sz="0" w:space="0" w:color="auto"/>
      </w:divBdr>
    </w:div>
    <w:div w:id="1693992137">
      <w:marLeft w:val="0"/>
      <w:marRight w:val="0"/>
      <w:marTop w:val="0"/>
      <w:marBottom w:val="0"/>
      <w:divBdr>
        <w:top w:val="none" w:sz="0" w:space="0" w:color="auto"/>
        <w:left w:val="none" w:sz="0" w:space="0" w:color="auto"/>
        <w:bottom w:val="none" w:sz="0" w:space="0" w:color="auto"/>
        <w:right w:val="none" w:sz="0" w:space="0" w:color="auto"/>
      </w:divBdr>
    </w:div>
    <w:div w:id="1693992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oporavka.gov.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oporavka.gov.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oporavka.gov.h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D277-EF10-4DFB-BA75-F7C1B4C1679D}">
  <ds:schemaRefs>
    <ds:schemaRef ds:uri="http://schemas.microsoft.com/sharepoint/v3/contenttype/forms"/>
  </ds:schemaRefs>
</ds:datastoreItem>
</file>

<file path=customXml/itemProps2.xml><?xml version="1.0" encoding="utf-8"?>
<ds:datastoreItem xmlns:ds="http://schemas.openxmlformats.org/officeDocument/2006/customXml" ds:itemID="{65D1B7E5-9E2D-4047-9DAA-7BB90C7A1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89E1C6-F403-4242-95DF-DD7A86BD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B84C5-263E-47E1-AEBA-ED28A6E1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9341</Words>
  <Characters>59461</Characters>
  <Application>Microsoft Office Word</Application>
  <DocSecurity>0</DocSecurity>
  <Lines>495</Lines>
  <Paragraphs>137</Paragraphs>
  <ScaleCrop>false</ScaleCrop>
  <HeadingPairs>
    <vt:vector size="2" baseType="variant">
      <vt:variant>
        <vt:lpstr>Title</vt:lpstr>
      </vt:variant>
      <vt:variant>
        <vt:i4>1</vt:i4>
      </vt:variant>
    </vt:vector>
  </HeadingPairs>
  <TitlesOfParts>
    <vt:vector size="1" baseType="lpstr">
      <vt:lpstr>Ministarstvo regionalnoga razvoja i fondova Europske unije (MRRFEU)</vt:lpstr>
    </vt:vector>
  </TitlesOfParts>
  <Company/>
  <LinksUpToDate>false</LinksUpToDate>
  <CharactersWithSpaces>68665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
  <cp:keywords/>
  <dc:description/>
  <cp:lastModifiedBy>mzo</cp:lastModifiedBy>
  <cp:revision>12</cp:revision>
  <cp:lastPrinted>2018-03-12T17:45:00Z</cp:lastPrinted>
  <dcterms:created xsi:type="dcterms:W3CDTF">2022-04-26T09:47:00Z</dcterms:created>
  <dcterms:modified xsi:type="dcterms:W3CDTF">2022-11-25T12:51:00Z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