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40EB477C" w14:textId="77777777" w:rsidR="005A2F1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614923C" w14:textId="1D2237F1" w:rsidR="00267F71" w:rsidRPr="00635C13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14:paraId="1E3AE7A2" w14:textId="70374585" w:rsidR="00267F71" w:rsidRPr="002B2B9B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7849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54C7" w:rsidRPr="00A854C7">
        <w:rPr>
          <w:rStyle w:val="Bodytext285pt"/>
          <w:rFonts w:eastAsiaTheme="minorHAnsi"/>
          <w:b/>
          <w:i/>
          <w:sz w:val="24"/>
        </w:rPr>
        <w:t>C3.2.R3-I1.01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2B2B9B" w:rsidRDefault="00533AAC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77777777" w:rsidR="00267F71" w:rsidRPr="00635C1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2. </w:t>
      </w:r>
    </w:p>
    <w:p w14:paraId="12CD0C02" w14:textId="77777777" w:rsidR="00267F71" w:rsidRPr="002B2B9B" w:rsidRDefault="00267F71" w:rsidP="00DB6119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prijavitelja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7751756B" w14:textId="77777777" w:rsidR="00267F71" w:rsidRDefault="00267F71" w:rsidP="00DB6119"/>
    <w:p w14:paraId="0B128D86" w14:textId="77777777" w:rsidR="00267F71" w:rsidRPr="00267F71" w:rsidRDefault="00267F71" w:rsidP="00B80020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2A690935" w:rsidR="00267F71" w:rsidRPr="00267F71" w:rsidRDefault="006B2210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>
        <w:rPr>
          <w:rFonts w:ascii="Times New Roman" w:eastAsia="Times New Roman" w:hAnsi="Times New Roman" w:cs="Times New Roman"/>
          <w:i/>
        </w:rPr>
        <w:t>upisati</w:t>
      </w:r>
      <w:r w:rsidRPr="00267F71">
        <w:rPr>
          <w:rFonts w:ascii="Times New Roman" w:eastAsia="Times New Roman" w:hAnsi="Times New Roman" w:cs="Times New Roman"/>
          <w:i/>
        </w:rPr>
        <w:t xml:space="preserve"> ime</w:t>
      </w:r>
      <w:r>
        <w:rPr>
          <w:rFonts w:ascii="Times New Roman" w:eastAsia="Times New Roman" w:hAnsi="Times New Roman" w:cs="Times New Roman"/>
          <w:i/>
        </w:rPr>
        <w:t xml:space="preserve"> i prezime</w:t>
      </w:r>
      <w:r w:rsidRPr="00FA2453">
        <w:rPr>
          <w:rFonts w:ascii="Times New Roman" w:eastAsia="Times New Roman" w:hAnsi="Times New Roman" w:cs="Times New Roman"/>
          <w:i/>
        </w:rPr>
        <w:t xml:space="preserve"> i OIB </w:t>
      </w:r>
      <w:r w:rsidRPr="000332F1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ovlašten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za zastupanje Prijavitelja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6B29E3A1" w14:textId="77777777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1A9304A2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Prijavitelja</w:t>
      </w:r>
      <w:r w:rsidRPr="00267F71">
        <w:rPr>
          <w:rFonts w:ascii="Times New Roman" w:eastAsia="Times New Roman" w:hAnsi="Times New Roman" w:cs="Times New Roman"/>
          <w:i/>
        </w:rPr>
        <w:t xml:space="preserve">,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  <w:r w:rsidR="00F45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>&lt; 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267F71">
        <w:rPr>
          <w:rFonts w:ascii="Times New Roman" w:eastAsia="Times New Roman" w:hAnsi="Times New Roman" w:cs="Times New Roman"/>
          <w:i/>
        </w:rPr>
        <w:t>naziv projektnog prijedloga &gt;</w:t>
      </w:r>
    </w:p>
    <w:p w14:paraId="0AC380DD" w14:textId="77777777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77777777" w:rsid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Dokazivanje inovativnog koncepta,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5E1DCAFD" w14:textId="77777777" w:rsidR="00533AAC" w:rsidRDefault="00533AAC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0FAFE" w14:textId="58009E72" w:rsidR="00267F71" w:rsidRPr="00B80020" w:rsidRDefault="00533AAC" w:rsidP="00B80020">
      <w:pPr>
        <w:jc w:val="both"/>
        <w:rPr>
          <w:rFonts w:ascii="Times New Roman" w:hAnsi="Times New Roman" w:cs="Times New Roman"/>
          <w:sz w:val="24"/>
          <w:szCs w:val="24"/>
        </w:rPr>
      </w:pPr>
      <w:r w:rsidRPr="00533AAC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="00267F71" w:rsidRPr="00B80020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</w:t>
      </w:r>
      <w:r w:rsidR="001B0ABE" w:rsidRPr="00B80020">
        <w:rPr>
          <w:rFonts w:ascii="Times New Roman" w:eastAsia="Times New Roman" w:hAnsi="Times New Roman" w:cs="Times New Roman"/>
          <w:b/>
          <w:sz w:val="24"/>
          <w:szCs w:val="24"/>
        </w:rPr>
        <w:t xml:space="preserve">nekumulativnosti, odnosno </w:t>
      </w:r>
      <w:r w:rsidR="00267F71" w:rsidRPr="00B80020">
        <w:rPr>
          <w:rFonts w:ascii="Times New Roman" w:eastAsia="Times New Roman" w:hAnsi="Times New Roman" w:cs="Times New Roman"/>
          <w:b/>
          <w:sz w:val="24"/>
          <w:szCs w:val="24"/>
        </w:rPr>
        <w:t>izbjegavanja dvostrukog financiranja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 w:rsidRPr="00B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7C99A050" w14:textId="1371C06B" w:rsidR="00267F71" w:rsidRPr="00267F71" w:rsidRDefault="00267F71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Potpisom ove Izjave osobno i u ime Prijavitelja potvrđujem da su na strani Prijavitelja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0C177BE7" w:rsidR="00267F71" w:rsidRDefault="00DC1C6C" w:rsidP="003E55E1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 xml:space="preserve">od </w:t>
      </w:r>
      <w:r w:rsidR="00267F71" w:rsidRPr="003E55E1">
        <w:rPr>
          <w:rFonts w:ascii="Times New Roman" w:hAnsi="Times New Roman" w:cs="Times New Roman"/>
          <w:sz w:val="24"/>
          <w:szCs w:val="24"/>
        </w:rPr>
        <w:t>prijavitelj</w:t>
      </w:r>
      <w:r w:rsidRPr="003E55E1">
        <w:rPr>
          <w:rFonts w:ascii="Times New Roman" w:hAnsi="Times New Roman" w:cs="Times New Roman"/>
          <w:sz w:val="24"/>
          <w:szCs w:val="24"/>
        </w:rPr>
        <w:t>a</w:t>
      </w:r>
      <w:r w:rsidR="00267F71" w:rsidRPr="003E55E1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Pr="003E55E1">
        <w:rPr>
          <w:rFonts w:ascii="Times New Roman" w:hAnsi="Times New Roman" w:cs="Times New Roman"/>
          <w:sz w:val="24"/>
          <w:szCs w:val="24"/>
        </w:rPr>
        <w:t>;</w:t>
      </w:r>
    </w:p>
    <w:p w14:paraId="7BF90928" w14:textId="078BD496" w:rsidR="003E55E1" w:rsidRPr="003E55E1" w:rsidRDefault="003E55E1" w:rsidP="003E55E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>prijavitelj je u teškoćama kako je definirano u članku 2. točki 18. Uredbe (EU) br. 651/2014 (nije primjenjivo na istraživačke organizacije);</w:t>
      </w:r>
    </w:p>
    <w:p w14:paraId="7DFC0091" w14:textId="23454D05" w:rsidR="003E55E1" w:rsidRPr="003E55E1" w:rsidRDefault="003E55E1" w:rsidP="003E55E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lastRenderedPageBreak/>
        <w:t>nad gospodarskim subjektom otvoren stečajni postupak, nesposoban je za plaćanje ili prezadužen, ili u postupku likvidacije, njegovom imovinom upravlja stečajni upravitelj ili sud, je u nagodbi s vjerovnicima, je obustavio poslovne aktivnosti ili je u bilo kakvoj istovrsnoj situaciji koja proizlazi iz sličnog postupka prema nacionalnim zakonima i propisima, ili se nalazi u postupku koji su, prema propisima države njegova sjedišta ili nastana kojima se regulira pitanje insolvencijskog prava, slični svim prethodno navedenim postupcima;</w:t>
      </w:r>
    </w:p>
    <w:p w14:paraId="595A8303" w14:textId="3A4BE1FC" w:rsidR="00C10A07" w:rsidRPr="003E55E1" w:rsidRDefault="00C10A07" w:rsidP="003E55E1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>prijavitelj/partner koji nema poslovnu jedinicu ili podružnicu u RH do trenutka dodjele bespovratnih sredstava</w:t>
      </w:r>
      <w:r w:rsidR="003E55E1"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51E263FE" w:rsidR="00267F71" w:rsidRPr="003E55E1" w:rsidRDefault="00267F71" w:rsidP="003E55E1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3E55E1">
        <w:rPr>
          <w:rFonts w:ascii="Times New Roman" w:hAnsi="Times New Roman" w:cs="Times New Roman"/>
          <w:sz w:val="24"/>
          <w:szCs w:val="24"/>
        </w:rPr>
        <w:t xml:space="preserve">je </w:t>
      </w:r>
      <w:r w:rsidRPr="003E55E1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77777777" w:rsidR="00422DA8" w:rsidRPr="00A13BB8" w:rsidRDefault="00422DA8" w:rsidP="00B80020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1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77777777" w:rsidR="00422DA8" w:rsidRPr="00A13BB8" w:rsidRDefault="00422DA8" w:rsidP="00B80020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A13BB8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77777777" w:rsidR="00422DA8" w:rsidRPr="00A13BB8" w:rsidRDefault="00422DA8" w:rsidP="00B80020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77777777" w:rsidR="00422DA8" w:rsidRPr="00A13BB8" w:rsidRDefault="00422DA8" w:rsidP="00B80020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77777777" w:rsidR="00422DA8" w:rsidRPr="00A13BB8" w:rsidRDefault="00422DA8" w:rsidP="00B80020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korupciju, na temelju članka 252. (primanje mita u gospodarskom poslovanju), članka 253. (davanje mita u gospodarskom poslovanju), članka 254. (zlouporaba u postupku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77777777" w:rsidR="00422DA8" w:rsidRPr="00A13BB8" w:rsidRDefault="00422DA8" w:rsidP="00B80020">
      <w:pPr>
        <w:pStyle w:val="NoSpacing"/>
        <w:numPr>
          <w:ilvl w:val="1"/>
          <w:numId w:val="9"/>
        </w:numPr>
        <w:spacing w:after="120" w:line="259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507FBBD7" w:rsidR="00267F71" w:rsidRPr="00B95D55" w:rsidRDefault="00267F71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prijavitelju je utvrđeno teško kršenje ugovora</w:t>
      </w:r>
      <w:r w:rsidR="003E55E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77777777" w:rsidR="00267F71" w:rsidRPr="00B95D55" w:rsidRDefault="00267F71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 ili osobe ovlaštene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je</w:t>
      </w:r>
      <w:r w:rsidRPr="00B95D55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284EB70B" w:rsidR="00267F71" w:rsidRPr="00B95D55" w:rsidRDefault="00267F71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prijavitelj je znao ili morao znati da je u sukobu interesa u </w:t>
      </w:r>
      <w:r w:rsidR="001B0ABE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77777777" w:rsidR="00267F71" w:rsidRPr="00B95D55" w:rsidRDefault="00267F71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29ED2DF8" w14:textId="2ACB5D0C" w:rsidR="00533AAC" w:rsidRDefault="00267F71" w:rsidP="00DB6119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 i u skladu s propisima države poslovnog nastana prijavitelja (ako oni nemaju poslovni nastan u RH). U pogledu ove točke, smatra se prihvatljivim da prijavitelj nije udovoljio spomenutim uvjetima, ako mu, sukladno posebnom propisu, plaćanje tih obveza nije dopušteno ili mu je odobrena odgoda plaćanja</w:t>
      </w:r>
      <w:r w:rsidR="00DB6119">
        <w:rPr>
          <w:rFonts w:ascii="Times New Roman" w:hAnsi="Times New Roman" w:cs="Times New Roman"/>
          <w:sz w:val="24"/>
          <w:szCs w:val="24"/>
        </w:rPr>
        <w:t>.</w:t>
      </w:r>
    </w:p>
    <w:p w14:paraId="7296C5BF" w14:textId="77777777" w:rsidR="00B95D55" w:rsidRDefault="00B95D55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Prijavitelja potvrđujem da: </w:t>
      </w:r>
    </w:p>
    <w:p w14:paraId="1D2D24AE" w14:textId="1B9D4D7C" w:rsidR="00B95D55" w:rsidRDefault="00B95D55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422DA8">
        <w:rPr>
          <w:rFonts w:ascii="Times New Roman" w:hAnsi="Times New Roman" w:cs="Times New Roman"/>
          <w:sz w:val="24"/>
          <w:szCs w:val="24"/>
        </w:rPr>
        <w:t>/korisnik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B95D55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</w:t>
      </w:r>
      <w:r>
        <w:rPr>
          <w:rFonts w:ascii="Times New Roman" w:hAnsi="Times New Roman" w:cs="Times New Roman"/>
          <w:sz w:val="24"/>
          <w:szCs w:val="24"/>
        </w:rPr>
        <w:t xml:space="preserve">, te da ima </w:t>
      </w:r>
      <w:r w:rsidRPr="00B95D55">
        <w:rPr>
          <w:rFonts w:ascii="Times New Roman" w:hAnsi="Times New Roman" w:cs="Times New Roman"/>
          <w:sz w:val="24"/>
          <w:szCs w:val="24"/>
        </w:rPr>
        <w:t>stabilne i dostatne izvore financiranja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rovedba projekta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započe</w:t>
      </w:r>
      <w:r>
        <w:rPr>
          <w:rFonts w:ascii="Times New Roman" w:hAnsi="Times New Roman" w:cs="Times New Roman"/>
          <w:sz w:val="24"/>
          <w:szCs w:val="24"/>
        </w:rPr>
        <w:t>la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26263BCF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 w:rsidR="00D43BF7">
        <w:rPr>
          <w:rFonts w:ascii="Times New Roman" w:hAnsi="Times New Roman" w:cs="Times New Roman"/>
          <w:sz w:val="24"/>
          <w:szCs w:val="24"/>
        </w:rPr>
        <w:t>i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su naveden</w:t>
      </w:r>
      <w:r w:rsidR="00D43BF7">
        <w:rPr>
          <w:rFonts w:ascii="Times New Roman" w:hAnsi="Times New Roman" w:cs="Times New Roman"/>
          <w:sz w:val="24"/>
          <w:szCs w:val="24"/>
        </w:rPr>
        <w:t>i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na popisu </w:t>
      </w:r>
      <w:r w:rsidR="00CD78FE">
        <w:rPr>
          <w:rFonts w:ascii="Times New Roman" w:hAnsi="Times New Roman" w:cs="Times New Roman"/>
          <w:sz w:val="24"/>
          <w:szCs w:val="24"/>
        </w:rPr>
        <w:t xml:space="preserve">Uredbe o </w:t>
      </w:r>
      <w:r w:rsidR="00B95D55" w:rsidRPr="00B95D55">
        <w:rPr>
          <w:rFonts w:ascii="Times New Roman" w:hAnsi="Times New Roman" w:cs="Times New Roman"/>
          <w:sz w:val="24"/>
          <w:szCs w:val="24"/>
        </w:rPr>
        <w:t>popis</w:t>
      </w:r>
      <w:r w:rsidR="00CD78FE">
        <w:rPr>
          <w:rFonts w:ascii="Times New Roman" w:hAnsi="Times New Roman" w:cs="Times New Roman"/>
          <w:sz w:val="24"/>
          <w:szCs w:val="24"/>
        </w:rPr>
        <w:t>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="00CD78FE" w:rsidRPr="00CD78FE">
        <w:rPr>
          <w:rFonts w:ascii="Times New Roman" w:hAnsi="Times New Roman" w:cs="Times New Roman"/>
          <w:sz w:val="24"/>
          <w:szCs w:val="24"/>
        </w:rPr>
        <w:t>26/18, 37/18, 63/19</w:t>
      </w:r>
      <w:r w:rsidR="00CD78FE">
        <w:rPr>
          <w:rFonts w:ascii="Times New Roman" w:hAnsi="Times New Roman" w:cs="Times New Roman"/>
          <w:sz w:val="24"/>
          <w:szCs w:val="24"/>
        </w:rPr>
        <w:t>,</w:t>
      </w:r>
      <w:r w:rsidR="00CD78FE" w:rsidRPr="00CD78FE">
        <w:rPr>
          <w:rFonts w:ascii="Times New Roman" w:hAnsi="Times New Roman" w:cs="Times New Roman"/>
          <w:sz w:val="24"/>
          <w:szCs w:val="24"/>
        </w:rPr>
        <w:t xml:space="preserve"> 107/21</w:t>
      </w:r>
      <w:r w:rsidR="00CD78FE">
        <w:rPr>
          <w:rFonts w:ascii="Times New Roman" w:hAnsi="Times New Roman" w:cs="Times New Roman"/>
          <w:sz w:val="24"/>
          <w:szCs w:val="24"/>
        </w:rPr>
        <w:t>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1E3B4295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2761A41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447C146" w14:textId="58BAC8A5" w:rsidR="00267F71" w:rsidRPr="00267F71" w:rsidRDefault="00A43710" w:rsidP="00B80020">
      <w:pPr>
        <w:pStyle w:val="ListParagraph"/>
        <w:numPr>
          <w:ilvl w:val="0"/>
          <w:numId w:val="10"/>
        </w:numPr>
        <w:spacing w:after="160" w:line="259" w:lineRule="auto"/>
        <w:ind w:left="709" w:hanging="709"/>
        <w:contextualSpacing w:val="0"/>
        <w:jc w:val="both"/>
      </w:pPr>
      <w:r w:rsidRPr="00F45FAF">
        <w:rPr>
          <w:rFonts w:ascii="Times New Roman" w:hAnsi="Times New Roman" w:cs="Times New Roman"/>
          <w:sz w:val="24"/>
          <w:szCs w:val="24"/>
        </w:rPr>
        <w:t>p</w:t>
      </w:r>
      <w:r w:rsidR="00B95D55" w:rsidRPr="00F45FAF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 projekta definiranim u točki „Razdoblje provedbe projekta“ Uputa</w:t>
      </w:r>
      <w:r w:rsidR="00D36A99" w:rsidRPr="00F45FAF">
        <w:rPr>
          <w:rFonts w:ascii="Times New Roman" w:hAnsi="Times New Roman" w:cs="Times New Roman"/>
          <w:sz w:val="24"/>
          <w:szCs w:val="24"/>
        </w:rPr>
        <w:t xml:space="preserve"> za prijavitelje</w:t>
      </w:r>
      <w:r w:rsidR="00422DA8" w:rsidRPr="00F45FAF">
        <w:rPr>
          <w:rFonts w:ascii="Times New Roman" w:hAnsi="Times New Roman" w:cs="Times New Roman"/>
          <w:sz w:val="24"/>
          <w:szCs w:val="24"/>
        </w:rPr>
        <w:t>.</w:t>
      </w:r>
    </w:p>
    <w:p w14:paraId="7FCE8A98" w14:textId="77777777" w:rsidR="00DC7E35" w:rsidRPr="00DC7E35" w:rsidRDefault="00DC7E35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>Vezano za poštivanje pravila o državnim potporama, osobno i u ime Prijavitelja potvrđujem da:</w:t>
      </w:r>
    </w:p>
    <w:p w14:paraId="31A7E646" w14:textId="7BABCCDF" w:rsidR="00DC7E35" w:rsidRPr="00B80020" w:rsidRDefault="00822641" w:rsidP="00B80020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 xml:space="preserve">se </w:t>
      </w:r>
      <w:r w:rsidR="00DC7E35" w:rsidRPr="00B80020">
        <w:rPr>
          <w:rFonts w:ascii="Times New Roman" w:hAnsi="Times New Roman" w:cs="Times New Roman"/>
          <w:sz w:val="24"/>
          <w:szCs w:val="24"/>
        </w:rPr>
        <w:t>sredstva dodijeljena temeljem ovog Poziva Prijavitelj neće koristiti za ekonomske djelatnosti</w:t>
      </w:r>
      <w:r w:rsidR="004E4B35" w:rsidRPr="00B80020">
        <w:rPr>
          <w:rFonts w:ascii="Times New Roman" w:hAnsi="Times New Roman" w:cs="Times New Roman"/>
          <w:sz w:val="24"/>
          <w:szCs w:val="24"/>
        </w:rPr>
        <w:t xml:space="preserve"> (primjenjivo ukoliko je prijavitelj istraživačka organizacija);</w:t>
      </w:r>
    </w:p>
    <w:p w14:paraId="1139EB6A" w14:textId="7FFD35A0" w:rsidR="00267F71" w:rsidRPr="00B80020" w:rsidRDefault="00DC7E35" w:rsidP="00B80020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>ću osigurati odvojeno vođenje ekonomskih i neekonomskih djelatnosti (raspodjelu troškova, izvora financijskih sredstava i prihoda)</w:t>
      </w:r>
      <w:r w:rsidR="004E4B35" w:rsidRPr="00B80020">
        <w:rPr>
          <w:rFonts w:ascii="Times New Roman" w:hAnsi="Times New Roman" w:cs="Times New Roman"/>
          <w:sz w:val="24"/>
          <w:szCs w:val="24"/>
        </w:rPr>
        <w:t xml:space="preserve"> (primjenjivo ukoliko je prijavitelj istraživačka organizacija)</w:t>
      </w:r>
      <w:r w:rsidR="00D021CC" w:rsidRPr="00B80020">
        <w:rPr>
          <w:rFonts w:ascii="Times New Roman" w:hAnsi="Times New Roman" w:cs="Times New Roman"/>
          <w:sz w:val="24"/>
          <w:szCs w:val="24"/>
        </w:rPr>
        <w:t>;</w:t>
      </w:r>
    </w:p>
    <w:p w14:paraId="54966C15" w14:textId="6AC8178A" w:rsidR="00DC7E35" w:rsidRPr="00F45FAF" w:rsidRDefault="004E4B35" w:rsidP="00B80020">
      <w:pPr>
        <w:pStyle w:val="ListParagraph"/>
        <w:numPr>
          <w:ilvl w:val="0"/>
          <w:numId w:val="10"/>
        </w:numPr>
        <w:spacing w:after="16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>za predmetni projekt, odnosno troškove koje projekt uključuje, nije primljena državna potpora ili potpora male vrijednosti, ili bilo koja potpora ili darovnica u bilo kojem obliku i iz bilo kojeg javnog izvora</w:t>
      </w:r>
      <w:r w:rsidR="00DC7E35" w:rsidRPr="00B80020">
        <w:rPr>
          <w:rFonts w:ascii="Times New Roman" w:hAnsi="Times New Roman" w:cs="Times New Roman"/>
          <w:sz w:val="24"/>
          <w:szCs w:val="24"/>
        </w:rPr>
        <w:t>.</w:t>
      </w:r>
    </w:p>
    <w:p w14:paraId="742217CB" w14:textId="6B34040C" w:rsidR="00533AAC" w:rsidRDefault="00533AAC" w:rsidP="00DB6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Potvrđujem da:</w:t>
      </w:r>
    </w:p>
    <w:p w14:paraId="09D49D18" w14:textId="67FA695C" w:rsidR="00156468" w:rsidRDefault="00156468" w:rsidP="00156468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 xml:space="preserve">sam suglasan/suglasna da se </w:t>
      </w:r>
      <w:r>
        <w:rPr>
          <w:rFonts w:ascii="Times New Roman" w:hAnsi="Times New Roman" w:cs="Times New Roman"/>
          <w:sz w:val="24"/>
          <w:szCs w:val="24"/>
        </w:rPr>
        <w:t xml:space="preserve">cjelokupna prijavna dokumentacija i podaci iz procjene projektnih prijedloga koriste u svrhu provedbe vrednovanja Poziva, </w:t>
      </w:r>
      <w:r w:rsidRPr="00B80020">
        <w:rPr>
          <w:rFonts w:ascii="Times New Roman" w:hAnsi="Times New Roman" w:cs="Times New Roman"/>
          <w:sz w:val="24"/>
          <w:szCs w:val="24"/>
        </w:rPr>
        <w:t>bez obzira na to hoće li Prijavitelj ostvariti potporu ili 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A8DDFE" w14:textId="74FABEDF" w:rsidR="007A0994" w:rsidRPr="007A0994" w:rsidRDefault="007A0994" w:rsidP="007A0994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994">
        <w:rPr>
          <w:rFonts w:ascii="Times New Roman" w:hAnsi="Times New Roman" w:cs="Times New Roman"/>
          <w:sz w:val="24"/>
          <w:szCs w:val="24"/>
        </w:rPr>
        <w:t>sam ispunio/ispunila početnu anketu vezanu uz Poziv, na način opisan u Uputama za prijavitelje;</w:t>
      </w:r>
    </w:p>
    <w:p w14:paraId="3C9B4FF3" w14:textId="77777777" w:rsidR="00156468" w:rsidRPr="000910E0" w:rsidRDefault="00156468" w:rsidP="00156468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suglasan/suglasna da se p</w:t>
      </w:r>
      <w:r w:rsidRPr="00B80020">
        <w:rPr>
          <w:rFonts w:ascii="Times New Roman" w:hAnsi="Times New Roman" w:cs="Times New Roman"/>
          <w:sz w:val="24"/>
          <w:szCs w:val="24"/>
        </w:rPr>
        <w:t>rijavitelja kontaktira za sudjelovanje u budućim anketama vezano za Poziv, ukoliko ih nadležna tijela odluče provesti, bez obzira na to hoće li Prijavitelj ostvariti potporu ili ne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Pr="00272F06">
        <w:rPr>
          <w:rFonts w:ascii="Times New Roman" w:hAnsi="Times New Roman" w:cs="Times New Roman"/>
          <w:sz w:val="24"/>
          <w:szCs w:val="24"/>
        </w:rPr>
        <w:t>da se podaci prikupljeni navedenim anketama koriste u svrhu provedbe vrednovanja Poziva.</w:t>
      </w:r>
    </w:p>
    <w:p w14:paraId="5C065870" w14:textId="77777777" w:rsidR="009725F9" w:rsidRDefault="009725F9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D4EA7" w14:textId="149966B8" w:rsidR="00DC7E35" w:rsidRDefault="00DC7E35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VI</w:t>
      </w:r>
      <w:r w:rsidR="00326FB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68934E02" w14:textId="3ADC7A06" w:rsidR="006B2210" w:rsidRDefault="006B2210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B2210" w:rsidRPr="001E2B75" w14:paraId="128A3827" w14:textId="77777777" w:rsidTr="00FD1873">
        <w:tc>
          <w:tcPr>
            <w:tcW w:w="5000" w:type="pct"/>
          </w:tcPr>
          <w:p w14:paraId="0788BEB6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2408EF30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05CCB838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19C3DD2A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0A085D2B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EAE3FA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3738F837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1F971C57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0326FE97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0A019730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7A11C5FB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6E53233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71C39B2D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78250694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3F7A5812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53919191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09B7" w14:textId="77777777" w:rsidR="00A37BC1" w:rsidRDefault="00A37BC1" w:rsidP="00DC7E35">
      <w:pPr>
        <w:spacing w:after="0" w:line="240" w:lineRule="auto"/>
      </w:pPr>
      <w:r>
        <w:separator/>
      </w:r>
    </w:p>
  </w:endnote>
  <w:endnote w:type="continuationSeparator" w:id="0">
    <w:p w14:paraId="3753C9FF" w14:textId="77777777" w:rsidR="00A37BC1" w:rsidRDefault="00A37BC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205825F1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F173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F173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C55A4" w14:textId="77777777" w:rsidR="00A37BC1" w:rsidRDefault="00A37BC1" w:rsidP="00DC7E35">
      <w:pPr>
        <w:spacing w:after="0" w:line="240" w:lineRule="auto"/>
      </w:pPr>
      <w:r>
        <w:separator/>
      </w:r>
    </w:p>
  </w:footnote>
  <w:footnote w:type="continuationSeparator" w:id="0">
    <w:p w14:paraId="5539052A" w14:textId="77777777" w:rsidR="00A37BC1" w:rsidRDefault="00A37BC1" w:rsidP="00DC7E35">
      <w:pPr>
        <w:spacing w:after="0" w:line="240" w:lineRule="auto"/>
      </w:pPr>
      <w:r>
        <w:continuationSeparator/>
      </w:r>
    </w:p>
  </w:footnote>
  <w:footnote w:id="1">
    <w:p w14:paraId="4F560A4F" w14:textId="7EDD4F3C" w:rsidR="003E55E1" w:rsidRDefault="003E55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55E1">
        <w:t>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33D03E84" w:rsidR="006B53B8" w:rsidRDefault="006B53B8">
    <w:pPr>
      <w:pStyle w:val="Header"/>
    </w:pPr>
    <w:r>
      <w:rPr>
        <w:noProof/>
        <w:lang w:val="en-US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en-US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267F71"/>
    <w:rsid w:val="002F3BBA"/>
    <w:rsid w:val="00326FBB"/>
    <w:rsid w:val="003E55E1"/>
    <w:rsid w:val="00422DA8"/>
    <w:rsid w:val="004E4B35"/>
    <w:rsid w:val="00533AAC"/>
    <w:rsid w:val="005A2F1E"/>
    <w:rsid w:val="005B2B57"/>
    <w:rsid w:val="00611641"/>
    <w:rsid w:val="00635C13"/>
    <w:rsid w:val="006B2210"/>
    <w:rsid w:val="006B53B8"/>
    <w:rsid w:val="00703DA4"/>
    <w:rsid w:val="0073432B"/>
    <w:rsid w:val="00784948"/>
    <w:rsid w:val="007A0994"/>
    <w:rsid w:val="007E6366"/>
    <w:rsid w:val="007F1228"/>
    <w:rsid w:val="00822641"/>
    <w:rsid w:val="008616BA"/>
    <w:rsid w:val="00885431"/>
    <w:rsid w:val="008932D7"/>
    <w:rsid w:val="008D02D7"/>
    <w:rsid w:val="008D1BCD"/>
    <w:rsid w:val="00963EB0"/>
    <w:rsid w:val="009725F9"/>
    <w:rsid w:val="00A37BC1"/>
    <w:rsid w:val="00A43710"/>
    <w:rsid w:val="00A6795B"/>
    <w:rsid w:val="00A854C7"/>
    <w:rsid w:val="00B6532E"/>
    <w:rsid w:val="00B80020"/>
    <w:rsid w:val="00B95D55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840BD"/>
    <w:rsid w:val="00EA2D38"/>
    <w:rsid w:val="00EB0F92"/>
    <w:rsid w:val="00EC015E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5F76-F06F-481D-AEFF-FE50A24A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10</cp:revision>
  <dcterms:created xsi:type="dcterms:W3CDTF">2022-08-04T09:09:00Z</dcterms:created>
  <dcterms:modified xsi:type="dcterms:W3CDTF">2022-08-23T13:44:00Z</dcterms:modified>
</cp:coreProperties>
</file>