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AF75E" w14:textId="77777777" w:rsidR="00125627" w:rsidRDefault="00125627" w:rsidP="0057105E">
      <w:pPr>
        <w:jc w:val="center"/>
        <w:rPr>
          <w:rFonts w:ascii="Times New Roman" w:hAnsi="Times New Roman" w:cs="Times New Roman"/>
          <w:b/>
          <w:sz w:val="32"/>
        </w:rPr>
      </w:pPr>
    </w:p>
    <w:p w14:paraId="5D1B9DEF" w14:textId="77777777" w:rsidR="009B3D41" w:rsidRDefault="0057105E" w:rsidP="0057105E">
      <w:pPr>
        <w:jc w:val="center"/>
        <w:rPr>
          <w:rFonts w:ascii="Times New Roman" w:hAnsi="Times New Roman" w:cs="Times New Roman"/>
          <w:b/>
          <w:sz w:val="28"/>
        </w:rPr>
      </w:pPr>
      <w:r w:rsidRPr="009C3000">
        <w:rPr>
          <w:rFonts w:ascii="Times New Roman" w:hAnsi="Times New Roman" w:cs="Times New Roman"/>
          <w:b/>
          <w:sz w:val="28"/>
        </w:rPr>
        <w:t>POZIV NA DODJELU BESPOVRATNIH SREDSTAVA</w:t>
      </w:r>
      <w:r w:rsidRPr="009C3000" w:rsidDel="006033F3">
        <w:rPr>
          <w:rFonts w:ascii="Times New Roman" w:hAnsi="Times New Roman" w:cs="Times New Roman"/>
          <w:b/>
          <w:sz w:val="28"/>
        </w:rPr>
        <w:t xml:space="preserve"> </w:t>
      </w:r>
    </w:p>
    <w:p w14:paraId="69606CBE" w14:textId="0786BFF5" w:rsidR="0057105E" w:rsidRPr="009C3000" w:rsidRDefault="0057105E" w:rsidP="0057105E">
      <w:pPr>
        <w:jc w:val="center"/>
        <w:rPr>
          <w:rFonts w:ascii="Times New Roman" w:hAnsi="Times New Roman" w:cs="Times New Roman"/>
          <w:b/>
          <w:sz w:val="28"/>
        </w:rPr>
      </w:pPr>
      <w:r w:rsidRPr="009C3000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>DOKAZIVANJE INOVATIVNOG KONCEPTA</w:t>
      </w:r>
    </w:p>
    <w:p w14:paraId="3338B155" w14:textId="7F229727" w:rsidR="0057105E" w:rsidRPr="002B2B9B" w:rsidRDefault="0057105E" w:rsidP="0057105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B2B9B">
        <w:rPr>
          <w:rFonts w:ascii="Times New Roman" w:hAnsi="Times New Roman" w:cs="Times New Roman"/>
          <w:b/>
          <w:sz w:val="24"/>
          <w:szCs w:val="24"/>
        </w:rPr>
        <w:t>(</w:t>
      </w:r>
      <w:r w:rsidRPr="002B2B9B">
        <w:rPr>
          <w:rFonts w:ascii="Times New Roman" w:hAnsi="Times New Roman" w:cs="Times New Roman"/>
          <w:b/>
          <w:i/>
          <w:sz w:val="24"/>
          <w:szCs w:val="24"/>
        </w:rPr>
        <w:t>referentni broj:</w:t>
      </w:r>
      <w:r w:rsidR="00370F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97D35" w:rsidRPr="00F97D35">
        <w:rPr>
          <w:rStyle w:val="Bodytext285pt"/>
          <w:rFonts w:eastAsiaTheme="minorHAnsi"/>
          <w:b/>
          <w:i/>
          <w:sz w:val="24"/>
          <w:lang w:val="hr-HR"/>
        </w:rPr>
        <w:t>C3.2.R3-I1.01</w:t>
      </w:r>
      <w:r w:rsidRPr="00F97D3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20F7CA78" w14:textId="77777777" w:rsidR="0057105E" w:rsidRPr="002B2B9B" w:rsidRDefault="0057105E" w:rsidP="0057105E">
      <w:pPr>
        <w:jc w:val="center"/>
        <w:rPr>
          <w:rFonts w:ascii="Times New Roman" w:hAnsi="Times New Roman" w:cs="Times New Roman"/>
          <w:b/>
          <w:sz w:val="24"/>
        </w:rPr>
      </w:pPr>
    </w:p>
    <w:p w14:paraId="5D1F2719" w14:textId="1E1ED9DD" w:rsidR="0057105E" w:rsidRPr="009C3000" w:rsidRDefault="0057105E" w:rsidP="0057105E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</w:pPr>
      <w:r w:rsidRPr="009C3000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 xml:space="preserve">PRILOG </w:t>
      </w:r>
      <w:r w:rsidRPr="009C3000">
        <w:rPr>
          <w:rFonts w:ascii="Times New Roman" w:eastAsiaTheme="minorEastAsia" w:hAnsi="Times New Roman"/>
          <w:b/>
          <w:bCs/>
          <w:color w:val="171796"/>
          <w:sz w:val="28"/>
          <w:szCs w:val="40"/>
        </w:rPr>
        <w:t>1</w:t>
      </w:r>
      <w:r w:rsidRPr="009C3000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 xml:space="preserve">. </w:t>
      </w:r>
      <w:bookmarkStart w:id="0" w:name="_GoBack"/>
      <w:bookmarkEnd w:id="0"/>
    </w:p>
    <w:p w14:paraId="72D527EB" w14:textId="0014D24C" w:rsidR="006D30F0" w:rsidRDefault="007212BF" w:rsidP="00917A93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2B2B9B">
        <w:rPr>
          <w:rFonts w:ascii="TimesNewRomanPS-BoldMT" w:hAnsi="TimesNewRomanPS-BoldMT"/>
          <w:b/>
          <w:bCs/>
          <w:color w:val="000000"/>
          <w:sz w:val="28"/>
          <w:szCs w:val="28"/>
        </w:rPr>
        <w:t>Postupak dodjele bespovratnih sredstava</w:t>
      </w:r>
    </w:p>
    <w:p w14:paraId="0E0EF984" w14:textId="5FC6386A" w:rsidR="00BE21C5" w:rsidRPr="002B2B9B" w:rsidRDefault="00505451" w:rsidP="00917A93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2B2B9B">
        <w:rPr>
          <w:rFonts w:ascii="TimesNewRomanPS-BoldMT" w:hAnsi="TimesNewRomanPS-BoldMT"/>
          <w:b/>
          <w:bCs/>
          <w:color w:val="000000"/>
          <w:sz w:val="28"/>
          <w:szCs w:val="28"/>
        </w:rPr>
        <w:t>ADMINISTRATIVNA PROVJERA</w:t>
      </w:r>
      <w:r w:rsidR="003C7549" w:rsidRPr="002B2B9B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, </w:t>
      </w:r>
      <w:r w:rsidRPr="002B2B9B">
        <w:rPr>
          <w:rFonts w:ascii="TimesNewRomanPS-BoldMT" w:hAnsi="TimesNewRomanPS-BoldMT"/>
          <w:b/>
          <w:bCs/>
          <w:color w:val="000000"/>
          <w:sz w:val="28"/>
          <w:szCs w:val="28"/>
        </w:rPr>
        <w:t>PROVJERA PRIHVATLJIVOSTI PRIJAVITELJA</w:t>
      </w:r>
      <w:r w:rsidR="00FB3BA1">
        <w:rPr>
          <w:rFonts w:ascii="TimesNewRomanPS-BoldMT" w:hAnsi="TimesNewRomanPS-BoldMT"/>
          <w:b/>
          <w:bCs/>
          <w:color w:val="000000"/>
          <w:sz w:val="28"/>
          <w:szCs w:val="28"/>
        </w:rPr>
        <w:t>, PARTNERA</w:t>
      </w:r>
      <w:r w:rsidRPr="002B2B9B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I PROJEKTA</w:t>
      </w:r>
      <w:r w:rsidR="003C7549" w:rsidRPr="002B2B9B">
        <w:rPr>
          <w:rFonts w:ascii="TimesNewRomanPS-BoldMT" w:hAnsi="TimesNewRomanPS-BoldMT"/>
          <w:b/>
          <w:bCs/>
          <w:color w:val="000000"/>
          <w:sz w:val="28"/>
          <w:szCs w:val="28"/>
        </w:rPr>
        <w:t>, OCJENA KVALITETE I PROVJERA PRIHVATLJIVOSTI TROŠKOVA</w:t>
      </w:r>
    </w:p>
    <w:p w14:paraId="62FC2A7F" w14:textId="77777777" w:rsidR="00917A93" w:rsidRDefault="00917A93" w:rsidP="00917A93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14:paraId="5F7DD5C0" w14:textId="77777777" w:rsidR="006D30F0" w:rsidRPr="002B2B9B" w:rsidRDefault="006D30F0" w:rsidP="00917A93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14:paraId="03AEF57B" w14:textId="4081946E" w:rsidR="002F6E2C" w:rsidRPr="002B2B9B" w:rsidRDefault="002F6E2C" w:rsidP="00917A93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14:paraId="6C5AA856" w14:textId="77777777" w:rsidR="002F6E2C" w:rsidRPr="002B2B9B" w:rsidRDefault="002F6E2C" w:rsidP="003C7549">
      <w:pPr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7890"/>
        <w:tblW w:w="0" w:type="auto"/>
        <w:tblLook w:val="04A0" w:firstRow="1" w:lastRow="0" w:firstColumn="1" w:lastColumn="0" w:noHBand="0" w:noVBand="1"/>
      </w:tblPr>
      <w:tblGrid>
        <w:gridCol w:w="3397"/>
        <w:gridCol w:w="5953"/>
      </w:tblGrid>
      <w:tr w:rsidR="00917A93" w:rsidRPr="002B2B9B" w14:paraId="5EB28F40" w14:textId="77777777" w:rsidTr="006D30F0">
        <w:tc>
          <w:tcPr>
            <w:tcW w:w="3397" w:type="dxa"/>
            <w:shd w:val="clear" w:color="auto" w:fill="D9E2F3" w:themeFill="accent1" w:themeFillTint="33"/>
            <w:vAlign w:val="center"/>
          </w:tcPr>
          <w:p w14:paraId="48FA9988" w14:textId="77777777" w:rsidR="00917A93" w:rsidRPr="002B2B9B" w:rsidRDefault="00917A93" w:rsidP="006D30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9B">
              <w:rPr>
                <w:rStyle w:val="fontstyle01"/>
                <w:rFonts w:ascii="Times New Roman" w:hAnsi="Times New Roman" w:cs="Times New Roman"/>
                <w:b/>
                <w:bCs/>
              </w:rPr>
              <w:t xml:space="preserve">Naziv Poziva </w:t>
            </w:r>
          </w:p>
        </w:tc>
        <w:tc>
          <w:tcPr>
            <w:tcW w:w="5953" w:type="dxa"/>
            <w:vAlign w:val="center"/>
          </w:tcPr>
          <w:p w14:paraId="50E0E4B3" w14:textId="6BFE7CFC" w:rsidR="00917A93" w:rsidRPr="00E504B8" w:rsidRDefault="00B21943" w:rsidP="006D30F0">
            <w:pPr>
              <w:rPr>
                <w:rFonts w:ascii="Times New Roman" w:hAnsi="Times New Roman" w:cs="Times New Roman"/>
              </w:rPr>
            </w:pPr>
            <w:r w:rsidRPr="00E504B8">
              <w:rPr>
                <w:rFonts w:ascii="Times New Roman" w:hAnsi="Times New Roman" w:cs="Times New Roman"/>
              </w:rPr>
              <w:t>Dokazivanje inovativnog koncepta</w:t>
            </w:r>
          </w:p>
        </w:tc>
      </w:tr>
      <w:tr w:rsidR="00917A93" w:rsidRPr="002B2B9B" w14:paraId="3C8D56DF" w14:textId="77777777" w:rsidTr="006D30F0">
        <w:tc>
          <w:tcPr>
            <w:tcW w:w="3397" w:type="dxa"/>
            <w:shd w:val="clear" w:color="auto" w:fill="D9E2F3" w:themeFill="accent1" w:themeFillTint="33"/>
            <w:vAlign w:val="center"/>
          </w:tcPr>
          <w:p w14:paraId="032E7D7E" w14:textId="77777777" w:rsidR="00917A93" w:rsidRPr="002B2B9B" w:rsidRDefault="00917A93" w:rsidP="006D30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9B">
              <w:rPr>
                <w:rStyle w:val="fontstyle01"/>
                <w:rFonts w:ascii="Times New Roman" w:hAnsi="Times New Roman" w:cs="Times New Roman"/>
                <w:b/>
                <w:bCs/>
              </w:rPr>
              <w:t xml:space="preserve">Referentna oznaka Poziva </w:t>
            </w:r>
          </w:p>
        </w:tc>
        <w:tc>
          <w:tcPr>
            <w:tcW w:w="5953" w:type="dxa"/>
            <w:vAlign w:val="center"/>
          </w:tcPr>
          <w:p w14:paraId="29910C30" w14:textId="77777777" w:rsidR="00917A93" w:rsidRPr="002B2B9B" w:rsidRDefault="00917A93" w:rsidP="006D30F0"/>
        </w:tc>
      </w:tr>
      <w:tr w:rsidR="00917A93" w:rsidRPr="002B2B9B" w14:paraId="5D4D1803" w14:textId="77777777" w:rsidTr="006D30F0">
        <w:tc>
          <w:tcPr>
            <w:tcW w:w="3397" w:type="dxa"/>
            <w:shd w:val="clear" w:color="auto" w:fill="D9E2F3" w:themeFill="accent1" w:themeFillTint="33"/>
          </w:tcPr>
          <w:p w14:paraId="154A73CB" w14:textId="77777777" w:rsidR="00917A93" w:rsidRPr="002B2B9B" w:rsidRDefault="00917A93" w:rsidP="006D30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prijavitelja</w:t>
            </w:r>
          </w:p>
        </w:tc>
        <w:tc>
          <w:tcPr>
            <w:tcW w:w="5953" w:type="dxa"/>
            <w:vAlign w:val="center"/>
          </w:tcPr>
          <w:p w14:paraId="6448F0DC" w14:textId="77777777" w:rsidR="00917A93" w:rsidRPr="002B2B9B" w:rsidRDefault="00917A93" w:rsidP="006D30F0"/>
        </w:tc>
      </w:tr>
      <w:tr w:rsidR="00917A93" w:rsidRPr="002B2B9B" w14:paraId="3D50A8C8" w14:textId="77777777" w:rsidTr="006D30F0">
        <w:tc>
          <w:tcPr>
            <w:tcW w:w="3397" w:type="dxa"/>
            <w:shd w:val="clear" w:color="auto" w:fill="D9E2F3" w:themeFill="accent1" w:themeFillTint="33"/>
          </w:tcPr>
          <w:p w14:paraId="719F2119" w14:textId="77777777" w:rsidR="00917A93" w:rsidRPr="002B2B9B" w:rsidRDefault="00917A93" w:rsidP="006D30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projektnog prijedloga</w:t>
            </w:r>
          </w:p>
        </w:tc>
        <w:tc>
          <w:tcPr>
            <w:tcW w:w="5953" w:type="dxa"/>
          </w:tcPr>
          <w:p w14:paraId="00C5BF83" w14:textId="77777777" w:rsidR="00917A93" w:rsidRPr="002B2B9B" w:rsidRDefault="00917A93" w:rsidP="006D30F0"/>
        </w:tc>
      </w:tr>
      <w:tr w:rsidR="00917A93" w:rsidRPr="002B2B9B" w14:paraId="7B78FEC7" w14:textId="77777777" w:rsidTr="006D30F0">
        <w:tc>
          <w:tcPr>
            <w:tcW w:w="3397" w:type="dxa"/>
            <w:shd w:val="clear" w:color="auto" w:fill="D9E2F3" w:themeFill="accent1" w:themeFillTint="33"/>
          </w:tcPr>
          <w:p w14:paraId="5A67D03B" w14:textId="77777777" w:rsidR="00917A93" w:rsidRPr="002B2B9B" w:rsidRDefault="00917A93" w:rsidP="006D30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Referentna oznaka projektnog prijedloga</w:t>
            </w:r>
          </w:p>
        </w:tc>
        <w:tc>
          <w:tcPr>
            <w:tcW w:w="5953" w:type="dxa"/>
          </w:tcPr>
          <w:p w14:paraId="5BAC48FD" w14:textId="77777777" w:rsidR="00917A93" w:rsidRPr="002B2B9B" w:rsidRDefault="00917A93" w:rsidP="006D30F0"/>
        </w:tc>
      </w:tr>
    </w:tbl>
    <w:p w14:paraId="2F053E87" w14:textId="77777777" w:rsidR="002F6E2C" w:rsidRDefault="002F6E2C" w:rsidP="003C7549">
      <w:pPr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p w14:paraId="7985F00F" w14:textId="0BDF7921" w:rsidR="005472E5" w:rsidRPr="002B2B9B" w:rsidRDefault="00505451" w:rsidP="003C7549">
      <w:pPr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2B2B9B">
        <w:rPr>
          <w:rFonts w:ascii="TimesNewRomanPS-BoldMT" w:hAnsi="TimesNewRomanPS-BoldMT"/>
          <w:b/>
          <w:bCs/>
          <w:color w:val="000000"/>
          <w:sz w:val="24"/>
          <w:szCs w:val="24"/>
        </w:rPr>
        <w:t>KONTROLNA LISTA ZA ADMINISTRATIVNU PROVJERU</w:t>
      </w:r>
      <w:r w:rsidR="005472E5" w:rsidRPr="002B2B9B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I PROVJER</w:t>
      </w:r>
      <w:r w:rsidR="003C7549" w:rsidRPr="002B2B9B">
        <w:rPr>
          <w:rFonts w:ascii="TimesNewRomanPS-BoldMT" w:hAnsi="TimesNewRomanPS-BoldMT"/>
          <w:b/>
          <w:bCs/>
          <w:color w:val="000000"/>
          <w:sz w:val="24"/>
          <w:szCs w:val="24"/>
        </w:rPr>
        <w:t>U</w:t>
      </w:r>
      <w:r w:rsidR="005472E5" w:rsidRPr="002B2B9B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PRIHVATLJIVOSTI PRIJAVITELJA</w:t>
      </w:r>
      <w:r w:rsidR="00FB3BA1">
        <w:rPr>
          <w:rFonts w:ascii="TimesNewRomanPS-BoldMT" w:hAnsi="TimesNewRomanPS-BoldMT"/>
          <w:b/>
          <w:bCs/>
          <w:color w:val="000000"/>
          <w:sz w:val="24"/>
          <w:szCs w:val="24"/>
        </w:rPr>
        <w:t>, PARTNERA</w:t>
      </w:r>
      <w:r w:rsidR="005472E5" w:rsidRPr="002B2B9B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I PROJEKTA</w:t>
      </w:r>
    </w:p>
    <w:p w14:paraId="26A4CA58" w14:textId="1AF36644" w:rsidR="00505451" w:rsidRPr="002B2B9B" w:rsidRDefault="00505451" w:rsidP="00505451">
      <w:pPr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5752"/>
        <w:gridCol w:w="1510"/>
        <w:gridCol w:w="1538"/>
      </w:tblGrid>
      <w:tr w:rsidR="005472E5" w:rsidRPr="002B2B9B" w14:paraId="544519A9" w14:textId="77777777" w:rsidTr="00B57B2D">
        <w:tc>
          <w:tcPr>
            <w:tcW w:w="550" w:type="dxa"/>
            <w:shd w:val="clear" w:color="auto" w:fill="D9E2F3" w:themeFill="accent1" w:themeFillTint="33"/>
            <w:vAlign w:val="center"/>
          </w:tcPr>
          <w:p w14:paraId="4D5B5E06" w14:textId="66A4393E" w:rsidR="00505451" w:rsidRPr="002B2B9B" w:rsidRDefault="00505451" w:rsidP="00E504B8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RB</w:t>
            </w:r>
          </w:p>
        </w:tc>
        <w:tc>
          <w:tcPr>
            <w:tcW w:w="5752" w:type="dxa"/>
            <w:shd w:val="clear" w:color="auto" w:fill="D9E2F3" w:themeFill="accent1" w:themeFillTint="33"/>
            <w:vAlign w:val="center"/>
          </w:tcPr>
          <w:p w14:paraId="4532FAB3" w14:textId="39522059" w:rsidR="00505451" w:rsidRPr="002B2B9B" w:rsidRDefault="00505451" w:rsidP="00E504B8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9B">
              <w:rPr>
                <w:rStyle w:val="fontstyle01"/>
                <w:rFonts w:ascii="Times New Roman" w:hAnsi="Times New Roman" w:cs="Times New Roman"/>
                <w:b/>
                <w:bCs/>
              </w:rPr>
              <w:t>Kriteriji za administrativnu provjeru</w:t>
            </w:r>
          </w:p>
        </w:tc>
        <w:tc>
          <w:tcPr>
            <w:tcW w:w="1510" w:type="dxa"/>
            <w:shd w:val="clear" w:color="auto" w:fill="D9E2F3" w:themeFill="accent1" w:themeFillTint="33"/>
            <w:vAlign w:val="center"/>
          </w:tcPr>
          <w:p w14:paraId="4FC87BCB" w14:textId="45904977" w:rsidR="00505451" w:rsidRPr="002B2B9B" w:rsidRDefault="00505451" w:rsidP="00E504B8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Procjena (DA/NE</w:t>
            </w:r>
            <w:r w:rsidR="003770EF"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/NP</w:t>
            </w:r>
            <w:r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38" w:type="dxa"/>
            <w:shd w:val="clear" w:color="auto" w:fill="D9E2F3" w:themeFill="accent1" w:themeFillTint="33"/>
            <w:vAlign w:val="center"/>
          </w:tcPr>
          <w:p w14:paraId="5942019F" w14:textId="4AB3E8DB" w:rsidR="00505451" w:rsidRPr="002B2B9B" w:rsidRDefault="00DC2244" w:rsidP="00E504B8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Komentar</w:t>
            </w:r>
          </w:p>
        </w:tc>
      </w:tr>
      <w:tr w:rsidR="00505451" w:rsidRPr="002B2B9B" w14:paraId="18961980" w14:textId="77777777" w:rsidTr="00B57B2D">
        <w:tc>
          <w:tcPr>
            <w:tcW w:w="550" w:type="dxa"/>
            <w:vAlign w:val="center"/>
          </w:tcPr>
          <w:p w14:paraId="79F64D9F" w14:textId="0C3DF8D8" w:rsidR="00505451" w:rsidRPr="002B2B9B" w:rsidRDefault="00D92901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52" w:type="dxa"/>
            <w:vAlign w:val="center"/>
          </w:tcPr>
          <w:p w14:paraId="790CB5CF" w14:textId="0E679DD0" w:rsidR="0019245B" w:rsidRPr="002B2B9B" w:rsidRDefault="00D92901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Projektni prijedlog napisan je na hrvatskom jeziku i latiničnom pismu, sva tražena dokumentacija je na hrvatskom jeziku ili prevedena na hrvatski jezik</w:t>
            </w:r>
            <w:r w:rsidR="00CF1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  <w:vAlign w:val="center"/>
          </w:tcPr>
          <w:p w14:paraId="77A7B983" w14:textId="77777777" w:rsidR="00505451" w:rsidRPr="002B2B9B" w:rsidRDefault="00505451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7884C568" w14:textId="77777777" w:rsidR="00505451" w:rsidRPr="002B2B9B" w:rsidRDefault="00505451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451" w:rsidRPr="002B2B9B" w14:paraId="7F03C861" w14:textId="77777777" w:rsidTr="00B57B2D">
        <w:tc>
          <w:tcPr>
            <w:tcW w:w="550" w:type="dxa"/>
            <w:vAlign w:val="center"/>
          </w:tcPr>
          <w:p w14:paraId="515CFA92" w14:textId="6ABD6C9C" w:rsidR="00505451" w:rsidRPr="002B2B9B" w:rsidRDefault="00D92901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52" w:type="dxa"/>
            <w:vAlign w:val="center"/>
          </w:tcPr>
          <w:p w14:paraId="6FEB748C" w14:textId="381DEDF5" w:rsidR="00505451" w:rsidRPr="00BD3AB9" w:rsidRDefault="00D92901" w:rsidP="00BD3A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Prijavitelj je dostavio Obrazac 2. Izjava prijavitelja o</w:t>
            </w:r>
            <w:r w:rsidR="003770EF" w:rsidRPr="002B2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 xml:space="preserve">istinitosti podataka, izbjegavanju dvostrukog financiranja </w:t>
            </w:r>
            <w:r w:rsidR="00311C27" w:rsidRPr="002B2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 </w:t>
            </w: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ispunjavanju preduvjeta za sudjelovanje u postupku dodjele</w:t>
            </w:r>
            <w:r w:rsidR="0069514B" w:rsidRPr="002B2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na način opisan u Uputama</w:t>
            </w:r>
            <w:r w:rsidR="00CF1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70EF" w:rsidRPr="002B2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vAlign w:val="center"/>
          </w:tcPr>
          <w:p w14:paraId="2DE2E3EB" w14:textId="77777777" w:rsidR="00505451" w:rsidRPr="002B2B9B" w:rsidRDefault="00505451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744E684A" w14:textId="77777777" w:rsidR="00505451" w:rsidRPr="002B2B9B" w:rsidRDefault="00505451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F9E" w:rsidRPr="002B2B9B" w14:paraId="662AD088" w14:textId="77777777" w:rsidTr="00B57B2D">
        <w:tc>
          <w:tcPr>
            <w:tcW w:w="550" w:type="dxa"/>
            <w:vAlign w:val="center"/>
          </w:tcPr>
          <w:p w14:paraId="240FA506" w14:textId="138ECD92" w:rsidR="00475F9E" w:rsidRPr="00485235" w:rsidRDefault="00475F9E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523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752" w:type="dxa"/>
            <w:vAlign w:val="center"/>
          </w:tcPr>
          <w:p w14:paraId="073A9C44" w14:textId="6F3EAF16" w:rsidR="00475F9E" w:rsidRPr="00485235" w:rsidRDefault="00475F9E" w:rsidP="00CF1E2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4BA9">
              <w:rPr>
                <w:rFonts w:ascii="Times New Roman" w:hAnsi="Times New Roman" w:cs="Times New Roman"/>
                <w:sz w:val="24"/>
                <w:szCs w:val="24"/>
              </w:rPr>
              <w:t>Partner je dostavio Obrazac 3. Izjava partnera o istinitosti podataka, izbjegavanju dvostrukog financiranja i ispunjavanju preduvjeta za sudjelovanje u postupku dodjele na način opisan u Uputama</w:t>
            </w:r>
            <w:r w:rsidR="00CF1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1E21" w:rsidRPr="00CF1E21">
              <w:rPr>
                <w:rFonts w:ascii="Times New Roman" w:hAnsi="Times New Roman" w:cs="Times New Roman"/>
                <w:i/>
                <w:sz w:val="24"/>
                <w:szCs w:val="24"/>
              </w:rPr>
              <w:t>(ukoliko je primjenjivo)</w:t>
            </w:r>
            <w:r w:rsidR="00CF1E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10" w:type="dxa"/>
            <w:vAlign w:val="center"/>
          </w:tcPr>
          <w:p w14:paraId="6E89A24F" w14:textId="77777777" w:rsidR="00475F9E" w:rsidRPr="002B2B9B" w:rsidRDefault="00475F9E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3124A716" w14:textId="77777777" w:rsidR="00475F9E" w:rsidRPr="002B2B9B" w:rsidRDefault="00475F9E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451" w:rsidRPr="002B2B9B" w14:paraId="54FCC3EC" w14:textId="77777777" w:rsidTr="00B57B2D">
        <w:tc>
          <w:tcPr>
            <w:tcW w:w="550" w:type="dxa"/>
            <w:vAlign w:val="center"/>
          </w:tcPr>
          <w:p w14:paraId="4F2B27D9" w14:textId="2A25692A" w:rsidR="00505451" w:rsidRPr="002B2B9B" w:rsidRDefault="00475F9E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2901" w:rsidRPr="002B2B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52" w:type="dxa"/>
            <w:vAlign w:val="center"/>
          </w:tcPr>
          <w:p w14:paraId="6C7208DC" w14:textId="08D553D1" w:rsidR="00505451" w:rsidRPr="002B2B9B" w:rsidRDefault="00D92901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Prijavitelj</w:t>
            </w:r>
            <w:r w:rsidR="00CF0454">
              <w:rPr>
                <w:rFonts w:ascii="Times New Roman" w:hAnsi="Times New Roman" w:cs="Times New Roman"/>
                <w:sz w:val="24"/>
                <w:szCs w:val="24"/>
              </w:rPr>
              <w:t xml:space="preserve">/partner </w:t>
            </w: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 xml:space="preserve">je dostavio Obrazac </w:t>
            </w:r>
            <w:r w:rsidR="00475F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. Skupna izjava na način</w:t>
            </w:r>
            <w:r w:rsidR="00311C27" w:rsidRPr="002B2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opisan u Uputama</w:t>
            </w:r>
            <w:r w:rsidR="00CF1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A49E5A" w14:textId="7AFD3B02" w:rsidR="0019245B" w:rsidRPr="002B2B9B" w:rsidRDefault="0019245B" w:rsidP="00CF045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B2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Nije primjenjivo za istraživačke organizacije</w:t>
            </w:r>
          </w:p>
        </w:tc>
        <w:tc>
          <w:tcPr>
            <w:tcW w:w="1510" w:type="dxa"/>
            <w:vAlign w:val="center"/>
          </w:tcPr>
          <w:p w14:paraId="575BB976" w14:textId="77777777" w:rsidR="00505451" w:rsidRPr="002B2B9B" w:rsidRDefault="00505451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74E6CABE" w14:textId="77777777" w:rsidR="00505451" w:rsidRPr="002B2B9B" w:rsidRDefault="00505451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DCD" w:rsidRPr="002B2B9B" w14:paraId="30D35EC0" w14:textId="77777777" w:rsidTr="00B57B2D">
        <w:tc>
          <w:tcPr>
            <w:tcW w:w="550" w:type="dxa"/>
            <w:vAlign w:val="center"/>
          </w:tcPr>
          <w:p w14:paraId="6FADC805" w14:textId="68D402BB" w:rsidR="00413DCD" w:rsidRPr="002B2B9B" w:rsidRDefault="00475F9E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3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52" w:type="dxa"/>
            <w:vAlign w:val="center"/>
          </w:tcPr>
          <w:p w14:paraId="78DF5FA0" w14:textId="6470B48A" w:rsidR="00413DCD" w:rsidRPr="004B5495" w:rsidRDefault="00413DCD" w:rsidP="004B549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2AA">
              <w:rPr>
                <w:rFonts w:ascii="Times New Roman" w:hAnsi="Times New Roman" w:cs="Times New Roman"/>
                <w:sz w:val="24"/>
                <w:szCs w:val="24"/>
              </w:rPr>
              <w:t>Prijavitelj</w:t>
            </w:r>
            <w:r w:rsidR="00CF0454">
              <w:rPr>
                <w:rFonts w:ascii="Times New Roman" w:hAnsi="Times New Roman" w:cs="Times New Roman"/>
                <w:sz w:val="24"/>
                <w:szCs w:val="24"/>
              </w:rPr>
              <w:t>/partner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2AA">
              <w:rPr>
                <w:rFonts w:ascii="Times New Roman" w:hAnsi="Times New Roman" w:cs="Times New Roman"/>
                <w:sz w:val="24"/>
                <w:szCs w:val="24"/>
              </w:rPr>
              <w:t xml:space="preserve">je dostavio </w:t>
            </w:r>
            <w:r w:rsidR="00475F9E">
              <w:rPr>
                <w:rFonts w:ascii="Times New Roman" w:hAnsi="Times New Roman" w:cs="Times New Roman"/>
                <w:sz w:val="24"/>
                <w:szCs w:val="24"/>
              </w:rPr>
              <w:t xml:space="preserve">Obrazac </w:t>
            </w:r>
            <w:r w:rsidR="003819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I</w:t>
            </w:r>
            <w:r w:rsidR="004B5495">
              <w:rPr>
                <w:rFonts w:ascii="Times New Roman" w:hAnsi="Times New Roman" w:cs="Times New Roman"/>
                <w:sz w:val="24"/>
                <w:szCs w:val="24"/>
              </w:rPr>
              <w:t xml:space="preserve">zjavu odgovorne osobe da </w:t>
            </w:r>
            <w:r w:rsidR="004B5495" w:rsidRPr="004B5495">
              <w:rPr>
                <w:rFonts w:ascii="Times New Roman" w:hAnsi="Times New Roman" w:cs="Times New Roman"/>
                <w:sz w:val="24"/>
                <w:szCs w:val="24"/>
              </w:rPr>
              <w:t>ekonomske djelatnosti koje se sastoje od ponude proizvoda ili usluga na određenom tržištu ne premašuju 20% ukupnih godišnjih kapa</w:t>
            </w:r>
            <w:r w:rsidR="004B5495">
              <w:rPr>
                <w:rFonts w:ascii="Times New Roman" w:hAnsi="Times New Roman" w:cs="Times New Roman"/>
                <w:sz w:val="24"/>
                <w:szCs w:val="24"/>
              </w:rPr>
              <w:t xml:space="preserve">citeta istraživačke organizacije </w:t>
            </w:r>
            <w:r w:rsidRPr="004F334B">
              <w:rPr>
                <w:rFonts w:ascii="Times New Roman" w:hAnsi="Times New Roman" w:cs="Times New Roman"/>
                <w:i/>
                <w:sz w:val="24"/>
                <w:szCs w:val="24"/>
              </w:rPr>
              <w:t>(ukoliko je primjenjivo)</w:t>
            </w:r>
            <w:r w:rsidR="00CF1E2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510" w:type="dxa"/>
            <w:vAlign w:val="center"/>
          </w:tcPr>
          <w:p w14:paraId="2C64680D" w14:textId="77777777" w:rsidR="00413DCD" w:rsidRPr="002B2B9B" w:rsidRDefault="00413DCD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22F875FE" w14:textId="77777777" w:rsidR="00413DCD" w:rsidRPr="002B2B9B" w:rsidRDefault="00413DCD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DCD" w:rsidRPr="002B2B9B" w14:paraId="1444361B" w14:textId="77777777" w:rsidTr="00B57B2D">
        <w:tc>
          <w:tcPr>
            <w:tcW w:w="550" w:type="dxa"/>
            <w:vAlign w:val="center"/>
          </w:tcPr>
          <w:p w14:paraId="7410D7D2" w14:textId="73E01D7F" w:rsidR="00413DCD" w:rsidRPr="002B2B9B" w:rsidDel="00BC051F" w:rsidRDefault="00CF0454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13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52" w:type="dxa"/>
            <w:vAlign w:val="center"/>
          </w:tcPr>
          <w:p w14:paraId="4534875A" w14:textId="7F15DEDE" w:rsidR="00413DCD" w:rsidRPr="002B2B9B" w:rsidDel="00BC051F" w:rsidRDefault="00413DCD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51F">
              <w:rPr>
                <w:rFonts w:ascii="Times New Roman" w:hAnsi="Times New Roman" w:cs="Times New Roman"/>
                <w:sz w:val="24"/>
                <w:szCs w:val="24"/>
              </w:rPr>
              <w:t>Prijavitelj je dostavio popunjen Obrazac</w:t>
            </w:r>
            <w:r w:rsidR="00475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E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Izjava o </w:t>
            </w:r>
            <w:r w:rsidRPr="00BC051F">
              <w:rPr>
                <w:rFonts w:ascii="Times New Roman" w:hAnsi="Times New Roman" w:cs="Times New Roman"/>
                <w:sz w:val="24"/>
                <w:szCs w:val="24"/>
              </w:rPr>
              <w:t>usklađenosti projektnog prijedloga s načelom „ne nanosi bitnu štetu“</w:t>
            </w:r>
            <w:r w:rsidR="00CF1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  <w:vAlign w:val="center"/>
          </w:tcPr>
          <w:p w14:paraId="0B396F79" w14:textId="77777777" w:rsidR="00413DCD" w:rsidRPr="002B2B9B" w:rsidRDefault="00413DCD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35763E63" w14:textId="77777777" w:rsidR="00413DCD" w:rsidRPr="002B2B9B" w:rsidRDefault="00413DCD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11C" w:rsidRPr="002B2B9B" w14:paraId="425B67E3" w14:textId="77777777" w:rsidTr="00B57B2D">
        <w:tc>
          <w:tcPr>
            <w:tcW w:w="550" w:type="dxa"/>
            <w:vAlign w:val="center"/>
          </w:tcPr>
          <w:p w14:paraId="42896904" w14:textId="47AD4EA0" w:rsidR="00AC511C" w:rsidRDefault="00AC511C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752" w:type="dxa"/>
            <w:vAlign w:val="center"/>
          </w:tcPr>
          <w:p w14:paraId="2C8E8496" w14:textId="066886E3" w:rsidR="00AC511C" w:rsidRPr="00BC051F" w:rsidRDefault="00AC511C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Prijavitelj je dostavio popunjen Obrazac 9. </w:t>
            </w:r>
            <w:r w:rsidR="00803C1F">
              <w:rPr>
                <w:rFonts w:ascii="Times New Roman" w:hAnsi="Times New Roman" w:cs="Times New Roman"/>
                <w:sz w:val="24"/>
                <w:szCs w:val="24"/>
              </w:rPr>
              <w:t>Doprinos Strategiji pametne specijalizacije 2029</w:t>
            </w:r>
            <w:r w:rsidR="007212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  <w:vAlign w:val="center"/>
          </w:tcPr>
          <w:p w14:paraId="728148EE" w14:textId="77777777" w:rsidR="00AC511C" w:rsidRPr="002B2B9B" w:rsidRDefault="00AC511C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64D7B584" w14:textId="77777777" w:rsidR="00AC511C" w:rsidRPr="002B2B9B" w:rsidRDefault="00AC511C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DCD" w:rsidRPr="002B2B9B" w14:paraId="5522B0B0" w14:textId="77777777" w:rsidTr="00B57B2D">
        <w:tc>
          <w:tcPr>
            <w:tcW w:w="550" w:type="dxa"/>
            <w:vAlign w:val="center"/>
          </w:tcPr>
          <w:p w14:paraId="30F486BD" w14:textId="0CACEAA9" w:rsidR="00413DCD" w:rsidRDefault="00AC511C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3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52" w:type="dxa"/>
            <w:vAlign w:val="center"/>
          </w:tcPr>
          <w:p w14:paraId="2FE1D4CE" w14:textId="065FC4E2" w:rsidR="00413DCD" w:rsidRPr="00BC051F" w:rsidRDefault="00413DCD" w:rsidP="006D54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0E">
              <w:rPr>
                <w:rFonts w:ascii="Times New Roman" w:hAnsi="Times New Roman" w:cs="Times New Roman"/>
                <w:sz w:val="24"/>
                <w:szCs w:val="24"/>
              </w:rPr>
              <w:t xml:space="preserve">Prijavitelj je </w:t>
            </w:r>
            <w:r w:rsidR="006D54E5">
              <w:rPr>
                <w:rFonts w:ascii="Times New Roman" w:hAnsi="Times New Roman" w:cs="Times New Roman"/>
                <w:sz w:val="24"/>
                <w:szCs w:val="24"/>
              </w:rPr>
              <w:t>popunio online početnu anketu</w:t>
            </w:r>
            <w:r w:rsidR="00EF1B87">
              <w:rPr>
                <w:rFonts w:ascii="Times New Roman" w:hAnsi="Times New Roman" w:cs="Times New Roman"/>
                <w:sz w:val="24"/>
                <w:szCs w:val="24"/>
              </w:rPr>
              <w:t xml:space="preserve"> sukladno uputama za istu.</w:t>
            </w:r>
            <w:r w:rsidR="006D5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vAlign w:val="center"/>
          </w:tcPr>
          <w:p w14:paraId="05ADBC01" w14:textId="77777777" w:rsidR="00413DCD" w:rsidRPr="002B2B9B" w:rsidRDefault="00413DCD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75122BAE" w14:textId="77777777" w:rsidR="00413DCD" w:rsidRPr="002B2B9B" w:rsidRDefault="00413DCD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DCD" w:rsidRPr="002B2B9B" w14:paraId="1322D8B1" w14:textId="77777777" w:rsidTr="00B57B2D">
        <w:tc>
          <w:tcPr>
            <w:tcW w:w="550" w:type="dxa"/>
            <w:vAlign w:val="center"/>
          </w:tcPr>
          <w:p w14:paraId="39BA77B7" w14:textId="2310BE3D" w:rsidR="00413DCD" w:rsidRDefault="00AC511C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13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52" w:type="dxa"/>
            <w:vAlign w:val="center"/>
          </w:tcPr>
          <w:p w14:paraId="418F83B8" w14:textId="0513E948" w:rsidR="00413DCD" w:rsidRPr="004A630E" w:rsidRDefault="00413DCD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0E">
              <w:rPr>
                <w:rFonts w:ascii="Times New Roman" w:hAnsi="Times New Roman" w:cs="Times New Roman"/>
                <w:sz w:val="24"/>
                <w:szCs w:val="24"/>
              </w:rPr>
              <w:t xml:space="preserve">Prijavitelj je dostavio </w:t>
            </w:r>
            <w:r w:rsidR="007212B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A630E">
              <w:rPr>
                <w:rFonts w:ascii="Times New Roman" w:hAnsi="Times New Roman" w:cs="Times New Roman"/>
                <w:sz w:val="24"/>
                <w:szCs w:val="24"/>
              </w:rPr>
              <w:t>okaze o projektnom timu na način opisan u Uputama</w:t>
            </w:r>
            <w:r w:rsidR="00CF1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  <w:vAlign w:val="center"/>
          </w:tcPr>
          <w:p w14:paraId="39BCF453" w14:textId="77777777" w:rsidR="00413DCD" w:rsidRPr="002B2B9B" w:rsidRDefault="00413DCD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20F5DCC3" w14:textId="77777777" w:rsidR="00413DCD" w:rsidRPr="002B2B9B" w:rsidRDefault="00413DCD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DCD" w:rsidRPr="002B2B9B" w14:paraId="69C9D895" w14:textId="77777777" w:rsidTr="00B57B2D">
        <w:tc>
          <w:tcPr>
            <w:tcW w:w="550" w:type="dxa"/>
            <w:vAlign w:val="center"/>
          </w:tcPr>
          <w:p w14:paraId="5AF7D7BB" w14:textId="545EDD1C" w:rsidR="00413DCD" w:rsidRDefault="00AC511C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13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52" w:type="dxa"/>
            <w:vAlign w:val="center"/>
          </w:tcPr>
          <w:p w14:paraId="2618AB4B" w14:textId="77777777" w:rsidR="00CF0454" w:rsidRDefault="00413DCD" w:rsidP="00413DCD">
            <w:pPr>
              <w:spacing w:after="1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Prijavitelj</w:t>
            </w:r>
            <w:r w:rsidR="00CF0454">
              <w:rPr>
                <w:rFonts w:ascii="Times New Roman" w:hAnsi="Times New Roman" w:cs="Times New Roman"/>
                <w:sz w:val="24"/>
                <w:szCs w:val="24"/>
              </w:rPr>
              <w:t>/partner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 dostavio </w:t>
            </w:r>
            <w:r w:rsidR="00965FFA">
              <w:rPr>
                <w:rFonts w:ascii="Times New Roman" w:hAnsi="Times New Roman" w:cs="Times New Roman"/>
                <w:sz w:val="24"/>
                <w:szCs w:val="24"/>
              </w:rPr>
              <w:t xml:space="preserve">godišnje izvješće za </w:t>
            </w:r>
            <w:r w:rsidRPr="004A630E">
              <w:rPr>
                <w:rFonts w:ascii="Times New Roman" w:hAnsi="Times New Roman" w:cs="Times New Roman"/>
                <w:sz w:val="24"/>
                <w:szCs w:val="24"/>
              </w:rPr>
              <w:t xml:space="preserve">zadnje odobreno računovodstveno razdoblje </w:t>
            </w:r>
            <w:r w:rsidR="00965FFA">
              <w:rPr>
                <w:rFonts w:ascii="Times New Roman" w:hAnsi="Times New Roman" w:cs="Times New Roman"/>
                <w:sz w:val="24"/>
                <w:szCs w:val="24"/>
              </w:rPr>
              <w:t xml:space="preserve">(obrazac DOH </w:t>
            </w:r>
            <w:r w:rsidRPr="004A630E">
              <w:rPr>
                <w:rFonts w:ascii="Times New Roman" w:hAnsi="Times New Roman" w:cs="Times New Roman"/>
                <w:sz w:val="24"/>
                <w:szCs w:val="24"/>
              </w:rPr>
              <w:t>koji uključuje Knjigu primitaka i izdataka (Obrazac KPI), popis dugotrajne imovine (Obrazac DI) i Obrazac P-PPI</w:t>
            </w:r>
            <w:r w:rsidR="00965FFA">
              <w:rPr>
                <w:rFonts w:ascii="Times New Roman" w:hAnsi="Times New Roman" w:cs="Times New Roman"/>
                <w:sz w:val="24"/>
                <w:szCs w:val="24"/>
              </w:rPr>
              <w:t>, ili ekvivalentna izvješća)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4F8">
              <w:rPr>
                <w:rFonts w:ascii="Times New Roman" w:hAnsi="Times New Roman" w:cs="Times New Roman"/>
                <w:i/>
                <w:sz w:val="24"/>
                <w:szCs w:val="24"/>
              </w:rPr>
              <w:t>(ukoliko je primjenjivo)</w:t>
            </w:r>
            <w:r w:rsidR="00CF1E2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711C1525" w14:textId="54E46FF7" w:rsidR="00413DCD" w:rsidRPr="00D168B4" w:rsidRDefault="00CF0454" w:rsidP="00413DCD">
            <w:pPr>
              <w:spacing w:after="1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0454">
              <w:rPr>
                <w:rFonts w:ascii="Times New Roman" w:hAnsi="Times New Roman" w:cs="Times New Roman"/>
                <w:iCs/>
                <w:sz w:val="24"/>
                <w:szCs w:val="24"/>
              </w:rPr>
              <w:t>*Nije primjenjivo za istraživačke organizacije</w:t>
            </w:r>
          </w:p>
        </w:tc>
        <w:tc>
          <w:tcPr>
            <w:tcW w:w="1510" w:type="dxa"/>
            <w:vAlign w:val="center"/>
          </w:tcPr>
          <w:p w14:paraId="5D642214" w14:textId="77777777" w:rsidR="00413DCD" w:rsidRPr="002B2B9B" w:rsidRDefault="00413DCD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657C39FF" w14:textId="77777777" w:rsidR="00413DCD" w:rsidRPr="002B2B9B" w:rsidRDefault="00413DCD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A79" w:rsidRPr="002B2B9B" w14:paraId="1EB16295" w14:textId="77777777" w:rsidTr="00B57B2D">
        <w:tc>
          <w:tcPr>
            <w:tcW w:w="550" w:type="dxa"/>
            <w:vAlign w:val="center"/>
          </w:tcPr>
          <w:p w14:paraId="6AADED9C" w14:textId="74A06071" w:rsidR="00842A79" w:rsidRDefault="00842A79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752" w:type="dxa"/>
            <w:vAlign w:val="center"/>
          </w:tcPr>
          <w:p w14:paraId="290A4A8D" w14:textId="7A7C2A72" w:rsidR="00F01A52" w:rsidRDefault="00842A79" w:rsidP="00F01A52">
            <w:pPr>
              <w:spacing w:after="1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Prijavitelj/partner je dostavio d</w:t>
            </w:r>
            <w:r w:rsidRPr="00842A79">
              <w:rPr>
                <w:rFonts w:ascii="Times New Roman" w:hAnsi="Times New Roman" w:cs="Times New Roman"/>
                <w:sz w:val="24"/>
                <w:szCs w:val="24"/>
              </w:rPr>
              <w:t>okaz o osiguranju vlastitih sredstava za sufinanciranje predloženog projekta</w:t>
            </w:r>
            <w:r w:rsidR="00F01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A52" w:rsidRPr="002164F8">
              <w:rPr>
                <w:rFonts w:ascii="Times New Roman" w:hAnsi="Times New Roman" w:cs="Times New Roman"/>
                <w:i/>
                <w:sz w:val="24"/>
                <w:szCs w:val="24"/>
              </w:rPr>
              <w:t>(ukoliko je primjenjivo)</w:t>
            </w:r>
            <w:r w:rsidR="00F01A5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2D81644C" w14:textId="0ADAD068" w:rsidR="00842A79" w:rsidRDefault="00F01A52" w:rsidP="00F01A5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454">
              <w:rPr>
                <w:rFonts w:ascii="Times New Roman" w:hAnsi="Times New Roman" w:cs="Times New Roman"/>
                <w:iCs/>
                <w:sz w:val="24"/>
                <w:szCs w:val="24"/>
              </w:rPr>
              <w:t>*Nije primjenjivo za istraživačke organizacije</w:t>
            </w:r>
          </w:p>
        </w:tc>
        <w:tc>
          <w:tcPr>
            <w:tcW w:w="1510" w:type="dxa"/>
            <w:vAlign w:val="center"/>
          </w:tcPr>
          <w:p w14:paraId="57F17D4B" w14:textId="77777777" w:rsidR="00842A79" w:rsidRPr="002B2B9B" w:rsidRDefault="00842A79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66607D3C" w14:textId="77777777" w:rsidR="00842A79" w:rsidRPr="002B2B9B" w:rsidRDefault="00842A79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A79" w:rsidRPr="002B2B9B" w14:paraId="35D69241" w14:textId="77777777" w:rsidTr="00B57B2D">
        <w:tc>
          <w:tcPr>
            <w:tcW w:w="550" w:type="dxa"/>
            <w:vAlign w:val="center"/>
          </w:tcPr>
          <w:p w14:paraId="6D27C918" w14:textId="5C61359D" w:rsidR="00842A79" w:rsidRDefault="00842A79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752" w:type="dxa"/>
            <w:vAlign w:val="center"/>
          </w:tcPr>
          <w:p w14:paraId="646BA055" w14:textId="77777777" w:rsidR="00F01A52" w:rsidRDefault="00842A79" w:rsidP="00254C2F">
            <w:pPr>
              <w:spacing w:after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Prijavitelj/partner je dostavio i</w:t>
            </w:r>
            <w:r w:rsidRPr="00842A79">
              <w:rPr>
                <w:rFonts w:ascii="Times New Roman" w:hAnsi="Times New Roman" w:cs="Times New Roman"/>
                <w:sz w:val="24"/>
                <w:szCs w:val="24"/>
              </w:rPr>
              <w:t>zvod iz registra stvarnih vlasnika</w:t>
            </w:r>
            <w:r w:rsidR="00F01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A52" w:rsidRPr="002164F8">
              <w:rPr>
                <w:rFonts w:ascii="Times New Roman" w:hAnsi="Times New Roman" w:cs="Times New Roman"/>
                <w:i/>
                <w:sz w:val="24"/>
                <w:szCs w:val="24"/>
              </w:rPr>
              <w:t>(ukoliko je primjenjivo)</w:t>
            </w:r>
            <w:r w:rsidR="00F01A5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2A5A9F93" w14:textId="14EDA383" w:rsidR="00842A79" w:rsidRDefault="00F01A52" w:rsidP="00254C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0454">
              <w:rPr>
                <w:rFonts w:ascii="Times New Roman" w:hAnsi="Times New Roman" w:cs="Times New Roman"/>
                <w:iCs/>
                <w:sz w:val="24"/>
                <w:szCs w:val="24"/>
              </w:rPr>
              <w:t>*</w:t>
            </w:r>
            <w:r w:rsidR="007A416A">
              <w:t xml:space="preserve"> </w:t>
            </w:r>
            <w:r w:rsidR="007A416A" w:rsidRPr="007A41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Obveznici dostave su pravni subjekti koji su obveznici upisa u Registar stvarnih vlasnika na temelju članka 33. </w:t>
            </w:r>
            <w:r w:rsidR="007A416A" w:rsidRPr="007A416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st. 4. Zakona o sprečavanju pranja novca i financiranju terorizma (NN, 108/17 i 39/19)</w:t>
            </w:r>
          </w:p>
        </w:tc>
        <w:tc>
          <w:tcPr>
            <w:tcW w:w="1510" w:type="dxa"/>
            <w:vAlign w:val="center"/>
          </w:tcPr>
          <w:p w14:paraId="71A88C90" w14:textId="77777777" w:rsidR="00842A79" w:rsidRPr="002B2B9B" w:rsidRDefault="00842A79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6A25590F" w14:textId="77777777" w:rsidR="00842A79" w:rsidRPr="002B2B9B" w:rsidRDefault="00842A79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5F" w:rsidRPr="002B2B9B" w14:paraId="28A85FDC" w14:textId="77777777" w:rsidTr="00B57B2D">
        <w:tc>
          <w:tcPr>
            <w:tcW w:w="550" w:type="dxa"/>
            <w:vAlign w:val="center"/>
          </w:tcPr>
          <w:p w14:paraId="44DBEE0D" w14:textId="16EDA8C5" w:rsidR="0038195F" w:rsidDel="0038195F" w:rsidRDefault="00842A79" w:rsidP="00842A7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81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52" w:type="dxa"/>
            <w:vAlign w:val="center"/>
          </w:tcPr>
          <w:p w14:paraId="44483393" w14:textId="02EBB0BD" w:rsidR="0038195F" w:rsidRDefault="0038195F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Prijavitelj i/ili partner su dostavili statut (ili ekvivalentni akt) istraživačke organizacije </w:t>
            </w:r>
            <w:r w:rsidRPr="002D1A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(ukoliko je primjenjivo)</w:t>
            </w:r>
            <w:r w:rsidR="00CF1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  <w:vAlign w:val="center"/>
          </w:tcPr>
          <w:p w14:paraId="20EF79DA" w14:textId="77777777" w:rsidR="0038195F" w:rsidRPr="002B2B9B" w:rsidRDefault="0038195F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1E2265CE" w14:textId="77777777" w:rsidR="0038195F" w:rsidRPr="002B2B9B" w:rsidRDefault="0038195F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DCD" w:rsidRPr="002B2B9B" w14:paraId="42633922" w14:textId="77777777" w:rsidTr="00B57B2D">
        <w:tc>
          <w:tcPr>
            <w:tcW w:w="550" w:type="dxa"/>
            <w:shd w:val="clear" w:color="auto" w:fill="D9E2F3" w:themeFill="accent1" w:themeFillTint="33"/>
            <w:vAlign w:val="center"/>
          </w:tcPr>
          <w:p w14:paraId="48B7CB91" w14:textId="77777777" w:rsidR="00413DCD" w:rsidRPr="002B2B9B" w:rsidRDefault="00413DCD" w:rsidP="00413DCD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RB</w:t>
            </w:r>
          </w:p>
        </w:tc>
        <w:tc>
          <w:tcPr>
            <w:tcW w:w="5752" w:type="dxa"/>
            <w:shd w:val="clear" w:color="auto" w:fill="D9E2F3" w:themeFill="accent1" w:themeFillTint="33"/>
            <w:vAlign w:val="center"/>
          </w:tcPr>
          <w:p w14:paraId="55D04365" w14:textId="0E620A38" w:rsidR="00413DCD" w:rsidRPr="00E504B8" w:rsidRDefault="00413DCD" w:rsidP="00413DCD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4B8">
              <w:rPr>
                <w:rStyle w:val="fontstyle01"/>
                <w:rFonts w:ascii="Times New Roman" w:hAnsi="Times New Roman" w:cs="Times New Roman"/>
                <w:b/>
                <w:bCs/>
              </w:rPr>
              <w:t>Kriteriji za p</w:t>
            </w:r>
            <w:r w:rsidRPr="00E504B8">
              <w:rPr>
                <w:rStyle w:val="fontstyle01"/>
                <w:b/>
                <w:bCs/>
              </w:rPr>
              <w:t xml:space="preserve">rovjeru prihvatljivosti prijavitelja, </w:t>
            </w:r>
            <w:r>
              <w:rPr>
                <w:rStyle w:val="fontstyle01"/>
                <w:b/>
                <w:bCs/>
              </w:rPr>
              <w:t xml:space="preserve">partnera, </w:t>
            </w:r>
            <w:r w:rsidRPr="00E504B8">
              <w:rPr>
                <w:rStyle w:val="fontstyle01"/>
                <w:b/>
                <w:bCs/>
              </w:rPr>
              <w:t>projekta i aktivnosti</w:t>
            </w:r>
          </w:p>
        </w:tc>
        <w:tc>
          <w:tcPr>
            <w:tcW w:w="1510" w:type="dxa"/>
            <w:shd w:val="clear" w:color="auto" w:fill="D9E2F3" w:themeFill="accent1" w:themeFillTint="33"/>
            <w:vAlign w:val="center"/>
          </w:tcPr>
          <w:p w14:paraId="31B667C3" w14:textId="7FF3C22E" w:rsidR="00413DCD" w:rsidRPr="002B2B9B" w:rsidRDefault="00413DCD" w:rsidP="00413DCD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Procjena (DA/NE/NP)</w:t>
            </w:r>
          </w:p>
        </w:tc>
        <w:tc>
          <w:tcPr>
            <w:tcW w:w="1538" w:type="dxa"/>
            <w:shd w:val="clear" w:color="auto" w:fill="D9E2F3" w:themeFill="accent1" w:themeFillTint="33"/>
            <w:vAlign w:val="center"/>
          </w:tcPr>
          <w:p w14:paraId="3DB77729" w14:textId="77777777" w:rsidR="00413DCD" w:rsidRPr="002B2B9B" w:rsidRDefault="00413DCD" w:rsidP="00413DCD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Komentar</w:t>
            </w:r>
          </w:p>
        </w:tc>
      </w:tr>
      <w:tr w:rsidR="00413DCD" w:rsidRPr="002B2B9B" w14:paraId="3BBA3639" w14:textId="77777777" w:rsidTr="00B57B2D">
        <w:tc>
          <w:tcPr>
            <w:tcW w:w="550" w:type="dxa"/>
          </w:tcPr>
          <w:p w14:paraId="54A21B53" w14:textId="5087D111" w:rsidR="00413DCD" w:rsidRPr="002B2B9B" w:rsidRDefault="00413DCD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52" w:type="dxa"/>
          </w:tcPr>
          <w:p w14:paraId="32C4C10D" w14:textId="67E921BB" w:rsidR="00413DCD" w:rsidRPr="002B2B9B" w:rsidRDefault="00413DCD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Prijavitelj</w:t>
            </w:r>
            <w:r w:rsidR="007212BF">
              <w:rPr>
                <w:rFonts w:ascii="Times New Roman" w:hAnsi="Times New Roman" w:cs="Times New Roman"/>
                <w:sz w:val="24"/>
                <w:szCs w:val="24"/>
              </w:rPr>
              <w:t xml:space="preserve"> i partner </w:t>
            </w:r>
            <w:r w:rsidR="007212BF" w:rsidRPr="002D1A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(ukoliko je primjenjivo)</w:t>
            </w: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 xml:space="preserve"> je pravna osoba koja se može svrstati u mikro, mala ili srednja poduzeća sukladno definiciji utvrđenoj u Prilogu I. Definicija malih i srednjih poduzeća Uredbe 651/2014</w:t>
            </w:r>
            <w:r w:rsidR="004C5D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 xml:space="preserve"> ili istraživačka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organizacija</w:t>
            </w:r>
            <w:r w:rsidR="004C5D3B">
              <w:rPr>
                <w:rFonts w:ascii="Times New Roman" w:hAnsi="Times New Roman" w:cs="Times New Roman"/>
                <w:sz w:val="24"/>
                <w:szCs w:val="24"/>
              </w:rPr>
              <w:t xml:space="preserve"> sukladno definiciji iz Uputa za prijavitelje</w:t>
            </w:r>
            <w:r w:rsidR="00CF1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FF2A70" w14:textId="22E1A295" w:rsidR="00413DCD" w:rsidRPr="002B2B9B" w:rsidRDefault="00413DCD" w:rsidP="00475F9E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Izvor provjere: Prijavni obrazac, Obrazac </w:t>
            </w:r>
            <w:r w:rsidR="00475F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2B2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Skupna izjava,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Obrazac </w:t>
            </w:r>
            <w:r w:rsidR="00205E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6.</w:t>
            </w:r>
            <w:r w:rsidR="004C5D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Izjava o neekonomskim aktivnostima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2B2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ostali dostupni izvori</w:t>
            </w:r>
          </w:p>
        </w:tc>
        <w:tc>
          <w:tcPr>
            <w:tcW w:w="1510" w:type="dxa"/>
          </w:tcPr>
          <w:p w14:paraId="7D0BFFCC" w14:textId="77777777" w:rsidR="00413DCD" w:rsidRPr="002B2B9B" w:rsidRDefault="00413DCD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14:paraId="506131A4" w14:textId="77777777" w:rsidR="00413DCD" w:rsidRPr="002B2B9B" w:rsidRDefault="00413DCD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D3B" w:rsidRPr="002B2B9B" w14:paraId="32F53B68" w14:textId="77777777" w:rsidTr="005A1308">
        <w:trPr>
          <w:trHeight w:val="1453"/>
        </w:trPr>
        <w:tc>
          <w:tcPr>
            <w:tcW w:w="550" w:type="dxa"/>
          </w:tcPr>
          <w:p w14:paraId="29EFD38A" w14:textId="2BC7097A" w:rsidR="004C5D3B" w:rsidRPr="002B2B9B" w:rsidRDefault="004C5D3B" w:rsidP="004C5D3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52" w:type="dxa"/>
          </w:tcPr>
          <w:p w14:paraId="0DC3454C" w14:textId="77777777" w:rsidR="004C5D3B" w:rsidRPr="002B2B9B" w:rsidRDefault="004C5D3B" w:rsidP="004C5D3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Prijavitelj udovoljava svim uvjetima iz toč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4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50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2.3. </w:t>
            </w: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Uputa za prijavitelje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9327ED" w14:textId="17461C06" w:rsidR="004C5D3B" w:rsidRPr="00D44BA9" w:rsidRDefault="004C5D3B" w:rsidP="004C5D3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Izvor provjere: Obrazac 2. Izjava prijavitelja, ostali dostupni izvori</w:t>
            </w:r>
          </w:p>
        </w:tc>
        <w:tc>
          <w:tcPr>
            <w:tcW w:w="1510" w:type="dxa"/>
          </w:tcPr>
          <w:p w14:paraId="586FA449" w14:textId="77777777" w:rsidR="004C5D3B" w:rsidRPr="002B2B9B" w:rsidRDefault="004C5D3B" w:rsidP="004C5D3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14:paraId="4DFE61A8" w14:textId="77777777" w:rsidR="004C5D3B" w:rsidRPr="002B2B9B" w:rsidRDefault="004C5D3B" w:rsidP="004C5D3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D3B" w:rsidRPr="002B2B9B" w14:paraId="75C2892A" w14:textId="77777777" w:rsidTr="005A1308">
        <w:trPr>
          <w:trHeight w:val="1453"/>
        </w:trPr>
        <w:tc>
          <w:tcPr>
            <w:tcW w:w="550" w:type="dxa"/>
          </w:tcPr>
          <w:p w14:paraId="56156B4F" w14:textId="77ADDA7B" w:rsidR="004C5D3B" w:rsidRPr="002B2B9B" w:rsidRDefault="004C5D3B" w:rsidP="004C5D3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52" w:type="dxa"/>
          </w:tcPr>
          <w:p w14:paraId="63A3ABC0" w14:textId="1DB4A374" w:rsidR="004C5D3B" w:rsidRPr="002B2B9B" w:rsidRDefault="004C5D3B" w:rsidP="004C5D3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artner</w:t>
            </w: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A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(ukoliko je </w:t>
            </w:r>
            <w:r w:rsidR="00DE1473" w:rsidRPr="002D1A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primjenjivo)</w:t>
            </w:r>
            <w:r w:rsidR="00DE1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udovoljava svim uvjetima iz toč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Pr="00E50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2.3</w:t>
            </w:r>
            <w:r w:rsidR="00183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Uputa za prijavitelje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C2A725" w14:textId="1900C363" w:rsidR="004C5D3B" w:rsidRPr="00D44BA9" w:rsidRDefault="004C5D3B" w:rsidP="004C5D3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Izvor provjere: Obrazac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2B2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Izjava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partnera</w:t>
            </w:r>
            <w:r w:rsidRPr="002B2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ostali dostupni izvori</w:t>
            </w:r>
          </w:p>
        </w:tc>
        <w:tc>
          <w:tcPr>
            <w:tcW w:w="1510" w:type="dxa"/>
          </w:tcPr>
          <w:p w14:paraId="5C92EA11" w14:textId="77777777" w:rsidR="004C5D3B" w:rsidRPr="002B2B9B" w:rsidRDefault="004C5D3B" w:rsidP="004C5D3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14:paraId="0B2A6DCA" w14:textId="77777777" w:rsidR="004C5D3B" w:rsidRPr="002B2B9B" w:rsidRDefault="004C5D3B" w:rsidP="004C5D3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D3B" w:rsidRPr="002B2B9B" w14:paraId="0AFA9289" w14:textId="77777777" w:rsidTr="005A1308">
        <w:trPr>
          <w:trHeight w:val="1453"/>
        </w:trPr>
        <w:tc>
          <w:tcPr>
            <w:tcW w:w="550" w:type="dxa"/>
          </w:tcPr>
          <w:p w14:paraId="6F3AD79B" w14:textId="4D547040" w:rsidR="004C5D3B" w:rsidRPr="002B2B9B" w:rsidRDefault="004C5D3B" w:rsidP="004C5D3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52" w:type="dxa"/>
          </w:tcPr>
          <w:p w14:paraId="3B63256F" w14:textId="77777777" w:rsidR="004C5D3B" w:rsidRPr="002B2B9B" w:rsidRDefault="004C5D3B" w:rsidP="004C5D3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 xml:space="preserve">rojekt udovoljava svim uvjetima iz točke </w:t>
            </w:r>
            <w:r w:rsidRPr="00E504B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. Uputa za prijavitelje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6E3F1C" w14:textId="659FF986" w:rsidR="004C5D3B" w:rsidRPr="00D44BA9" w:rsidRDefault="004C5D3B" w:rsidP="004C5D3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Izvor provjere: Obrazac 2. Izjava prijavitelja,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Obrazac 3. Izjava partnera,</w:t>
            </w:r>
            <w:r w:rsidRPr="002B2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ostali dostupni izvori</w:t>
            </w:r>
          </w:p>
        </w:tc>
        <w:tc>
          <w:tcPr>
            <w:tcW w:w="1510" w:type="dxa"/>
          </w:tcPr>
          <w:p w14:paraId="0377DAEF" w14:textId="77777777" w:rsidR="004C5D3B" w:rsidRPr="002B2B9B" w:rsidRDefault="004C5D3B" w:rsidP="004C5D3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14:paraId="2816BA6C" w14:textId="77777777" w:rsidR="004C5D3B" w:rsidRPr="002B2B9B" w:rsidRDefault="004C5D3B" w:rsidP="004C5D3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DCD" w:rsidRPr="002B2B9B" w14:paraId="1D4B88D5" w14:textId="77777777" w:rsidTr="00DC7AC2">
        <w:trPr>
          <w:trHeight w:val="1895"/>
        </w:trPr>
        <w:tc>
          <w:tcPr>
            <w:tcW w:w="550" w:type="dxa"/>
          </w:tcPr>
          <w:p w14:paraId="71E11ECB" w14:textId="75BFF413" w:rsidR="00413DCD" w:rsidRPr="002B2B9B" w:rsidRDefault="00DE1473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3DCD" w:rsidRPr="002B2B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52" w:type="dxa"/>
          </w:tcPr>
          <w:p w14:paraId="22DFE0AF" w14:textId="60036161" w:rsidR="00413DCD" w:rsidRPr="002B2B9B" w:rsidRDefault="00413DCD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Prijavitelj</w:t>
            </w:r>
            <w:r w:rsidR="00CF0454">
              <w:rPr>
                <w:rFonts w:ascii="Times New Roman" w:hAnsi="Times New Roman" w:cs="Times New Roman"/>
                <w:sz w:val="24"/>
                <w:szCs w:val="24"/>
              </w:rPr>
              <w:t>/partner</w:t>
            </w: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 xml:space="preserve"> nije poduzetnik u teškoćama kako je definirano u članku 2., točki 18. Uredbe (EU) br. 651/2014 i Uredbe 2017/1084</w:t>
            </w:r>
            <w:r w:rsidR="00DE1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27479D" w14:textId="0265DC54" w:rsidR="00413DCD" w:rsidRPr="002B2B9B" w:rsidRDefault="00413DCD" w:rsidP="00413DCD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Izvor provjere: Obrazac 2. Izjava prijavitelja,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CF04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Obrazac 3. Izjava part</w:t>
            </w:r>
            <w:r w:rsidR="00DE14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="00CF04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era, </w:t>
            </w:r>
            <w:r w:rsidRPr="003F71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Godišnje financijsko izvješće, DOH, ili ekvivalentno izvješće</w:t>
            </w:r>
            <w:r w:rsidR="00DE14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ostali dostupni izvori</w:t>
            </w:r>
          </w:p>
          <w:p w14:paraId="64673E8A" w14:textId="73FC18A5" w:rsidR="00413DCD" w:rsidRPr="002B2B9B" w:rsidRDefault="00413DCD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B2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Nije primjenjivo za istraživačke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organizacije</w:t>
            </w:r>
            <w:r w:rsidRPr="002B2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510" w:type="dxa"/>
          </w:tcPr>
          <w:p w14:paraId="67D72A71" w14:textId="77777777" w:rsidR="00413DCD" w:rsidRPr="002B2B9B" w:rsidRDefault="00413DCD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14:paraId="448429FC" w14:textId="77777777" w:rsidR="00413DCD" w:rsidRPr="002B2B9B" w:rsidRDefault="00413DCD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DCD" w:rsidRPr="002B2B9B" w14:paraId="65875109" w14:textId="77777777" w:rsidTr="00B52F67">
        <w:trPr>
          <w:trHeight w:val="1550"/>
        </w:trPr>
        <w:tc>
          <w:tcPr>
            <w:tcW w:w="550" w:type="dxa"/>
          </w:tcPr>
          <w:p w14:paraId="4819BA56" w14:textId="7CBBB667" w:rsidR="00413DCD" w:rsidRPr="002B2B9B" w:rsidRDefault="00DE1473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413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52" w:type="dxa"/>
          </w:tcPr>
          <w:p w14:paraId="22BE045E" w14:textId="5371B65D" w:rsidR="00413DCD" w:rsidRDefault="00413DCD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Partner je </w:t>
            </w:r>
            <w:r w:rsidRPr="006453E3">
              <w:rPr>
                <w:rFonts w:ascii="Times New Roman" w:hAnsi="Times New Roman" w:cs="Times New Roman"/>
                <w:sz w:val="24"/>
                <w:szCs w:val="24"/>
              </w:rPr>
              <w:t>Prepoznati cent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453E3"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kojim je </w:t>
            </w:r>
            <w:r w:rsidR="00D13900" w:rsidRPr="00D13900">
              <w:rPr>
                <w:rFonts w:ascii="Times New Roman" w:hAnsi="Times New Roman" w:cs="Times New Roman"/>
                <w:sz w:val="24"/>
                <w:szCs w:val="24"/>
              </w:rPr>
              <w:t>Hrvatska agencija za malo gospodarstvo, inovacije i investicije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sklopi</w:t>
            </w:r>
            <w:r w:rsidR="00EC090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D1390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453E3">
              <w:rPr>
                <w:rFonts w:ascii="Times New Roman" w:hAnsi="Times New Roman" w:cs="Times New Roman"/>
                <w:sz w:val="24"/>
                <w:szCs w:val="24"/>
              </w:rPr>
              <w:t xml:space="preserve"> Sporazum o međusobnim pravima i obvezama vezano uz provedbu programa Dokazivanje inovativnog koncepta</w:t>
            </w:r>
            <w:r w:rsidR="00CF1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1E21" w:rsidRPr="00930CC2">
              <w:rPr>
                <w:rFonts w:ascii="Times New Roman" w:hAnsi="Times New Roman" w:cs="Times New Roman"/>
                <w:i/>
                <w:sz w:val="24"/>
                <w:szCs w:val="24"/>
              </w:rPr>
              <w:t>(ukoliko je primjenjivo).</w:t>
            </w:r>
          </w:p>
          <w:p w14:paraId="1E0E4FD5" w14:textId="63AF4DA6" w:rsidR="00413DCD" w:rsidRPr="002B2B9B" w:rsidRDefault="00413DCD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F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Izvor provjere: lista Prepoznatih centara</w:t>
            </w:r>
          </w:p>
        </w:tc>
        <w:tc>
          <w:tcPr>
            <w:tcW w:w="1510" w:type="dxa"/>
          </w:tcPr>
          <w:p w14:paraId="26196902" w14:textId="77777777" w:rsidR="00413DCD" w:rsidRPr="002B2B9B" w:rsidRDefault="00413DCD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14:paraId="37DE4845" w14:textId="77777777" w:rsidR="00413DCD" w:rsidRPr="002B2B9B" w:rsidRDefault="00413DCD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DCD" w:rsidRPr="002B2B9B" w14:paraId="07220C3B" w14:textId="77777777" w:rsidTr="0085481E">
        <w:trPr>
          <w:trHeight w:val="1403"/>
        </w:trPr>
        <w:tc>
          <w:tcPr>
            <w:tcW w:w="550" w:type="dxa"/>
          </w:tcPr>
          <w:p w14:paraId="4E77C0F9" w14:textId="48518A66" w:rsidR="00413DCD" w:rsidRPr="002B2B9B" w:rsidRDefault="00DE1473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3DCD" w:rsidRPr="002B2B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52" w:type="dxa"/>
          </w:tcPr>
          <w:p w14:paraId="17BEC042" w14:textId="73C3BB2F" w:rsidR="00413DCD" w:rsidRPr="002B2B9B" w:rsidRDefault="00413DCD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Aktivnosti projekta su u skladu s prihvatljivim aktivnostima u sklopu ovog Poziva kako su navedene u točki 2.7. Uputa za prijavitelje</w:t>
            </w:r>
            <w:r w:rsidR="00CF1E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332E353" w14:textId="250A49A5" w:rsidR="00413DCD" w:rsidRPr="00E504B8" w:rsidRDefault="00413DCD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Izvor provjere: Prijavni obrazac, ostali dostupni izvori</w:t>
            </w:r>
          </w:p>
        </w:tc>
        <w:tc>
          <w:tcPr>
            <w:tcW w:w="1510" w:type="dxa"/>
          </w:tcPr>
          <w:p w14:paraId="3247E34F" w14:textId="77777777" w:rsidR="00413DCD" w:rsidRPr="002B2B9B" w:rsidRDefault="00413DCD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14:paraId="0AE826B8" w14:textId="77777777" w:rsidR="00413DCD" w:rsidRPr="002B2B9B" w:rsidRDefault="00413DCD" w:rsidP="00413D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A6FF72" w14:textId="5FB1D2C0" w:rsidR="00505451" w:rsidRPr="002B2B9B" w:rsidRDefault="00505451" w:rsidP="00E504B8">
      <w:pPr>
        <w:spacing w:after="120"/>
      </w:pPr>
    </w:p>
    <w:p w14:paraId="2857672E" w14:textId="77777777" w:rsidR="006D30F0" w:rsidRDefault="006D30F0" w:rsidP="00505451">
      <w:pPr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p w14:paraId="5CAB752D" w14:textId="391F33E8" w:rsidR="003C7549" w:rsidRPr="002B2B9B" w:rsidRDefault="003C7549" w:rsidP="00505451">
      <w:pPr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2B2B9B">
        <w:rPr>
          <w:rFonts w:ascii="TimesNewRomanPS-BoldMT" w:hAnsi="TimesNewRomanPS-BoldMT"/>
          <w:b/>
          <w:bCs/>
          <w:color w:val="000000"/>
          <w:sz w:val="24"/>
          <w:szCs w:val="24"/>
        </w:rPr>
        <w:t>KONTROLNA LISTA</w:t>
      </w:r>
      <w:r w:rsidR="00F9468F" w:rsidRPr="002B2B9B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ZA OCJENU KVALITETE I PROVJERU PRIHVATLJIVOSTI TROŠKOVA</w:t>
      </w:r>
    </w:p>
    <w:p w14:paraId="7D1724D1" w14:textId="7BEC6873" w:rsidR="00F9468F" w:rsidRPr="002B2B9B" w:rsidRDefault="00F9468F" w:rsidP="00505451">
      <w:pPr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5749"/>
        <w:gridCol w:w="1510"/>
        <w:gridCol w:w="1541"/>
      </w:tblGrid>
      <w:tr w:rsidR="00F9468F" w:rsidRPr="002B2B9B" w14:paraId="5AAA1A1F" w14:textId="77777777" w:rsidTr="00E504B8">
        <w:trPr>
          <w:trHeight w:val="617"/>
        </w:trPr>
        <w:tc>
          <w:tcPr>
            <w:tcW w:w="550" w:type="dxa"/>
            <w:shd w:val="clear" w:color="auto" w:fill="D9E2F3" w:themeFill="accent1" w:themeFillTint="33"/>
            <w:vAlign w:val="center"/>
          </w:tcPr>
          <w:p w14:paraId="30C1EE9E" w14:textId="77777777" w:rsidR="00F9468F" w:rsidRPr="002B2B9B" w:rsidRDefault="00F9468F" w:rsidP="00E504B8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RB</w:t>
            </w:r>
          </w:p>
        </w:tc>
        <w:tc>
          <w:tcPr>
            <w:tcW w:w="5749" w:type="dxa"/>
            <w:shd w:val="clear" w:color="auto" w:fill="D9E2F3" w:themeFill="accent1" w:themeFillTint="33"/>
            <w:vAlign w:val="center"/>
          </w:tcPr>
          <w:p w14:paraId="6933EC48" w14:textId="753843A5" w:rsidR="00F9468F" w:rsidRPr="002B2B9B" w:rsidRDefault="00F9468F" w:rsidP="00E504B8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9B">
              <w:rPr>
                <w:rStyle w:val="fontstyle01"/>
                <w:rFonts w:ascii="Times New Roman" w:hAnsi="Times New Roman" w:cs="Times New Roman"/>
                <w:b/>
                <w:bCs/>
              </w:rPr>
              <w:t>Kriteriji za poslovno tehničko-tehnološku evaluaciju</w:t>
            </w:r>
          </w:p>
        </w:tc>
        <w:tc>
          <w:tcPr>
            <w:tcW w:w="1510" w:type="dxa"/>
            <w:shd w:val="clear" w:color="auto" w:fill="D9E2F3" w:themeFill="accent1" w:themeFillTint="33"/>
            <w:vAlign w:val="center"/>
          </w:tcPr>
          <w:p w14:paraId="07FC6625" w14:textId="7248ABCD" w:rsidR="00F9468F" w:rsidRPr="002B2B9B" w:rsidRDefault="00F9468F" w:rsidP="00E504B8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Ocjena (1-5)</w:t>
            </w:r>
          </w:p>
        </w:tc>
        <w:tc>
          <w:tcPr>
            <w:tcW w:w="1541" w:type="dxa"/>
            <w:shd w:val="clear" w:color="auto" w:fill="D9E2F3" w:themeFill="accent1" w:themeFillTint="33"/>
            <w:vAlign w:val="center"/>
          </w:tcPr>
          <w:p w14:paraId="78E740B3" w14:textId="77777777" w:rsidR="00F9468F" w:rsidRPr="002B2B9B" w:rsidRDefault="00F9468F" w:rsidP="00E504B8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Komentar</w:t>
            </w:r>
          </w:p>
        </w:tc>
      </w:tr>
      <w:tr w:rsidR="00F9468F" w:rsidRPr="002B2B9B" w14:paraId="3B912A20" w14:textId="77777777" w:rsidTr="00F9468F">
        <w:tc>
          <w:tcPr>
            <w:tcW w:w="550" w:type="dxa"/>
          </w:tcPr>
          <w:p w14:paraId="4AB90448" w14:textId="77777777" w:rsidR="00F9468F" w:rsidRPr="002B2B9B" w:rsidRDefault="00F9468F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49" w:type="dxa"/>
          </w:tcPr>
          <w:p w14:paraId="35D9F04C" w14:textId="64C58CEC" w:rsidR="00F9468F" w:rsidRPr="002B2B9B" w:rsidRDefault="00816825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 xml:space="preserve">Procjena stupnja inovativnosti </w:t>
            </w:r>
          </w:p>
        </w:tc>
        <w:tc>
          <w:tcPr>
            <w:tcW w:w="1510" w:type="dxa"/>
          </w:tcPr>
          <w:p w14:paraId="04E47505" w14:textId="77777777" w:rsidR="00F9468F" w:rsidRPr="002B2B9B" w:rsidRDefault="00F9468F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4B69F963" w14:textId="77777777" w:rsidR="00F9468F" w:rsidRPr="002B2B9B" w:rsidRDefault="00F9468F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68F" w:rsidRPr="002B2B9B" w14:paraId="54AE4B54" w14:textId="77777777" w:rsidTr="00F9468F">
        <w:tc>
          <w:tcPr>
            <w:tcW w:w="550" w:type="dxa"/>
          </w:tcPr>
          <w:p w14:paraId="4B09DB53" w14:textId="77777777" w:rsidR="00F9468F" w:rsidRPr="002B2B9B" w:rsidRDefault="00F9468F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49" w:type="dxa"/>
          </w:tcPr>
          <w:p w14:paraId="4CB82205" w14:textId="776F8BB8" w:rsidR="00F9468F" w:rsidRPr="002B2B9B" w:rsidRDefault="005720B5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Procjena tržišnog potencijala</w:t>
            </w:r>
          </w:p>
        </w:tc>
        <w:tc>
          <w:tcPr>
            <w:tcW w:w="1510" w:type="dxa"/>
          </w:tcPr>
          <w:p w14:paraId="4EFDF813" w14:textId="77777777" w:rsidR="00F9468F" w:rsidRPr="002B2B9B" w:rsidRDefault="00F9468F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0022DE14" w14:textId="77777777" w:rsidR="00F9468F" w:rsidRPr="002B2B9B" w:rsidRDefault="00F9468F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68F" w:rsidRPr="002B2B9B" w14:paraId="12A2C77B" w14:textId="77777777" w:rsidTr="00F9468F">
        <w:tc>
          <w:tcPr>
            <w:tcW w:w="550" w:type="dxa"/>
          </w:tcPr>
          <w:p w14:paraId="6E8A9841" w14:textId="77777777" w:rsidR="00F9468F" w:rsidRPr="002B2B9B" w:rsidRDefault="00F9468F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49" w:type="dxa"/>
          </w:tcPr>
          <w:p w14:paraId="55FFE2EF" w14:textId="128C3A72" w:rsidR="00F9468F" w:rsidRPr="002B2B9B" w:rsidRDefault="00F118BD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 xml:space="preserve">Procjena </w:t>
            </w:r>
            <w:r w:rsidR="00151E57" w:rsidRPr="002B2B9B">
              <w:rPr>
                <w:rFonts w:ascii="Times New Roman" w:hAnsi="Times New Roman" w:cs="Times New Roman"/>
                <w:sz w:val="24"/>
                <w:szCs w:val="24"/>
              </w:rPr>
              <w:t>metodologije</w:t>
            </w:r>
            <w:r w:rsidR="000B5E81" w:rsidRPr="002B2B9B">
              <w:rPr>
                <w:rFonts w:ascii="Times New Roman" w:hAnsi="Times New Roman" w:cs="Times New Roman"/>
                <w:sz w:val="24"/>
                <w:szCs w:val="24"/>
              </w:rPr>
              <w:t xml:space="preserve"> provedbe</w:t>
            </w:r>
            <w:r w:rsidR="00151E57" w:rsidRPr="002B2B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strukture, kvalifikacij</w:t>
            </w:r>
            <w:r w:rsidR="000B5E81" w:rsidRPr="002B2B9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 xml:space="preserve"> i kompetencij</w:t>
            </w:r>
            <w:r w:rsidR="005D1091" w:rsidRPr="002B2B9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 xml:space="preserve"> članova projektnog tima</w:t>
            </w:r>
            <w:r w:rsidR="000B5E81" w:rsidRPr="002B2B9B">
              <w:rPr>
                <w:rFonts w:ascii="Times New Roman" w:hAnsi="Times New Roman" w:cs="Times New Roman"/>
                <w:sz w:val="24"/>
                <w:szCs w:val="24"/>
              </w:rPr>
              <w:t xml:space="preserve"> za provedbu poslovne ideje</w:t>
            </w: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</w:tcPr>
          <w:p w14:paraId="54B1C543" w14:textId="77777777" w:rsidR="00F9468F" w:rsidRPr="002B2B9B" w:rsidRDefault="00F9468F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42E97E65" w14:textId="77777777" w:rsidR="00F9468F" w:rsidRPr="002B2B9B" w:rsidRDefault="00F9468F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68F" w:rsidRPr="002B2B9B" w14:paraId="375C5BCB" w14:textId="77777777" w:rsidTr="00F9468F">
        <w:tc>
          <w:tcPr>
            <w:tcW w:w="550" w:type="dxa"/>
          </w:tcPr>
          <w:p w14:paraId="3D8CB9D9" w14:textId="5ADCFE70" w:rsidR="00F9468F" w:rsidRPr="002B2B9B" w:rsidRDefault="00F9468F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49" w:type="dxa"/>
          </w:tcPr>
          <w:p w14:paraId="417807C6" w14:textId="62335221" w:rsidR="00F9468F" w:rsidRPr="002B2B9B" w:rsidRDefault="005720B5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Usklađenost proračuna (troškova) sa planiranim aktivnostima</w:t>
            </w:r>
          </w:p>
        </w:tc>
        <w:tc>
          <w:tcPr>
            <w:tcW w:w="1510" w:type="dxa"/>
          </w:tcPr>
          <w:p w14:paraId="34CF0395" w14:textId="77777777" w:rsidR="00F9468F" w:rsidRPr="002B2B9B" w:rsidRDefault="00F9468F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04C93E01" w14:textId="77777777" w:rsidR="00F9468F" w:rsidRPr="002B2B9B" w:rsidRDefault="00F9468F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D26C88" w14:textId="77777777" w:rsidR="00CF1E21" w:rsidRPr="002B2B9B" w:rsidRDefault="00CF1E21" w:rsidP="005054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5749"/>
        <w:gridCol w:w="1510"/>
        <w:gridCol w:w="1541"/>
      </w:tblGrid>
      <w:tr w:rsidR="00F9468F" w:rsidRPr="002B2B9B" w14:paraId="48627487" w14:textId="77777777" w:rsidTr="002D5D42">
        <w:tc>
          <w:tcPr>
            <w:tcW w:w="550" w:type="dxa"/>
            <w:shd w:val="clear" w:color="auto" w:fill="D9E2F3" w:themeFill="accent1" w:themeFillTint="33"/>
            <w:vAlign w:val="center"/>
          </w:tcPr>
          <w:p w14:paraId="26F9F729" w14:textId="77777777" w:rsidR="00F9468F" w:rsidRPr="002B2B9B" w:rsidRDefault="00F9468F" w:rsidP="00E504B8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RB</w:t>
            </w:r>
          </w:p>
        </w:tc>
        <w:tc>
          <w:tcPr>
            <w:tcW w:w="5749" w:type="dxa"/>
            <w:shd w:val="clear" w:color="auto" w:fill="D9E2F3" w:themeFill="accent1" w:themeFillTint="33"/>
            <w:vAlign w:val="center"/>
          </w:tcPr>
          <w:p w14:paraId="30F6D7C1" w14:textId="0A87F80C" w:rsidR="00F9468F" w:rsidRPr="002B2B9B" w:rsidRDefault="00F9468F" w:rsidP="00E504B8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Kriteriji za poslovno financijsku evaluaciju</w:t>
            </w:r>
          </w:p>
        </w:tc>
        <w:tc>
          <w:tcPr>
            <w:tcW w:w="1510" w:type="dxa"/>
            <w:shd w:val="clear" w:color="auto" w:fill="D9E2F3" w:themeFill="accent1" w:themeFillTint="33"/>
            <w:vAlign w:val="center"/>
          </w:tcPr>
          <w:p w14:paraId="08BFDF88" w14:textId="77777777" w:rsidR="00F9468F" w:rsidRPr="002B2B9B" w:rsidRDefault="00F9468F" w:rsidP="00E504B8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Procjena (DA/NE/NP)</w:t>
            </w:r>
          </w:p>
        </w:tc>
        <w:tc>
          <w:tcPr>
            <w:tcW w:w="1541" w:type="dxa"/>
            <w:shd w:val="clear" w:color="auto" w:fill="D9E2F3" w:themeFill="accent1" w:themeFillTint="33"/>
            <w:vAlign w:val="center"/>
          </w:tcPr>
          <w:p w14:paraId="43EF24C5" w14:textId="77777777" w:rsidR="00F9468F" w:rsidRPr="002B2B9B" w:rsidRDefault="00F9468F" w:rsidP="00E504B8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Komentar</w:t>
            </w:r>
          </w:p>
        </w:tc>
      </w:tr>
      <w:tr w:rsidR="00F9468F" w:rsidRPr="002B2B9B" w14:paraId="43F1F7C1" w14:textId="77777777" w:rsidTr="00BD6BDC">
        <w:tc>
          <w:tcPr>
            <w:tcW w:w="550" w:type="dxa"/>
          </w:tcPr>
          <w:p w14:paraId="041D4C84" w14:textId="77777777" w:rsidR="00F9468F" w:rsidRPr="002B2B9B" w:rsidRDefault="00F9468F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49" w:type="dxa"/>
          </w:tcPr>
          <w:p w14:paraId="5982D930" w14:textId="4100C779" w:rsidR="00F9468F" w:rsidRPr="002B2B9B" w:rsidRDefault="00DA4A32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5720B5" w:rsidRPr="002B2B9B">
              <w:rPr>
                <w:rFonts w:ascii="Times New Roman" w:hAnsi="Times New Roman" w:cs="Times New Roman"/>
                <w:sz w:val="24"/>
                <w:szCs w:val="24"/>
              </w:rPr>
              <w:t>onitet</w:t>
            </w:r>
          </w:p>
          <w:p w14:paraId="730D25E3" w14:textId="16B80C1F" w:rsidR="00816825" w:rsidRPr="002B2B9B" w:rsidRDefault="00816825" w:rsidP="00E504B8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B2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Nije primjenjivo za prijavitelje javne istraživačke organizacije</w:t>
            </w:r>
          </w:p>
        </w:tc>
        <w:tc>
          <w:tcPr>
            <w:tcW w:w="1510" w:type="dxa"/>
          </w:tcPr>
          <w:p w14:paraId="5A736FAC" w14:textId="77777777" w:rsidR="00F9468F" w:rsidRPr="002B2B9B" w:rsidRDefault="00F9468F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198FFD37" w14:textId="77777777" w:rsidR="00F9468F" w:rsidRPr="002B2B9B" w:rsidRDefault="00F9468F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68F" w:rsidRPr="002B2B9B" w14:paraId="256A2F9D" w14:textId="77777777" w:rsidTr="00BD6BDC">
        <w:tc>
          <w:tcPr>
            <w:tcW w:w="550" w:type="dxa"/>
          </w:tcPr>
          <w:p w14:paraId="34BA799C" w14:textId="77777777" w:rsidR="00F9468F" w:rsidRPr="002B2B9B" w:rsidRDefault="00F9468F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49" w:type="dxa"/>
          </w:tcPr>
          <w:p w14:paraId="70D82EFC" w14:textId="1D439571" w:rsidR="00F9468F" w:rsidRPr="002B2B9B" w:rsidRDefault="00816825" w:rsidP="00E504B8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720B5" w:rsidRPr="002B2B9B">
              <w:rPr>
                <w:rFonts w:ascii="Times New Roman" w:hAnsi="Times New Roman" w:cs="Times New Roman"/>
                <w:sz w:val="24"/>
                <w:szCs w:val="24"/>
              </w:rPr>
              <w:t>roračunska usklađenost i prihvatljivost troškova</w:t>
            </w:r>
          </w:p>
        </w:tc>
        <w:tc>
          <w:tcPr>
            <w:tcW w:w="1510" w:type="dxa"/>
          </w:tcPr>
          <w:p w14:paraId="308F672B" w14:textId="77777777" w:rsidR="00F9468F" w:rsidRPr="002B2B9B" w:rsidRDefault="00F9468F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0875AC93" w14:textId="77777777" w:rsidR="00F9468F" w:rsidRPr="002B2B9B" w:rsidRDefault="00F9468F" w:rsidP="00E504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1A9CB0" w14:textId="38C0FBA4" w:rsidR="00F9468F" w:rsidRDefault="00F9468F" w:rsidP="00505451"/>
    <w:p w14:paraId="5E829AD8" w14:textId="537B2942" w:rsidR="005720B5" w:rsidRDefault="005720B5" w:rsidP="005054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1922" w:rsidRPr="002B2B9B" w14:paraId="028EF4D2" w14:textId="77777777" w:rsidTr="008D1922">
        <w:trPr>
          <w:trHeight w:val="523"/>
        </w:trPr>
        <w:tc>
          <w:tcPr>
            <w:tcW w:w="9350" w:type="dxa"/>
            <w:shd w:val="clear" w:color="auto" w:fill="D9E2F3" w:themeFill="accent1" w:themeFillTint="33"/>
          </w:tcPr>
          <w:p w14:paraId="3F03743C" w14:textId="6492062B" w:rsidR="008D1922" w:rsidRPr="002B2B9B" w:rsidRDefault="008D1922" w:rsidP="00B52F6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METODOLOGIJA ZA OCJENJIVANJE KVALITETE </w:t>
            </w:r>
            <w:r w:rsidRPr="002B2B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 PROVJERU PRIHVATLJIVOSTI TROŠKOVA</w:t>
            </w:r>
          </w:p>
        </w:tc>
      </w:tr>
      <w:tr w:rsidR="008D1922" w:rsidRPr="002B2B9B" w14:paraId="2274D2CF" w14:textId="77777777" w:rsidTr="008D1922">
        <w:trPr>
          <w:trHeight w:val="544"/>
        </w:trPr>
        <w:tc>
          <w:tcPr>
            <w:tcW w:w="9350" w:type="dxa"/>
            <w:shd w:val="clear" w:color="auto" w:fill="D9E2F3" w:themeFill="accent1" w:themeFillTint="33"/>
            <w:vAlign w:val="center"/>
          </w:tcPr>
          <w:p w14:paraId="4152D9A8" w14:textId="78BB6BE3" w:rsidR="008D1922" w:rsidRPr="002B2B9B" w:rsidRDefault="008D1922" w:rsidP="00B52F6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Kriteriji za poslovno tehničko-tehnološku evaluaciju</w:t>
            </w:r>
          </w:p>
        </w:tc>
      </w:tr>
      <w:tr w:rsidR="008D1922" w:rsidRPr="002B2B9B" w14:paraId="74743D7D" w14:textId="77777777" w:rsidTr="008D1922">
        <w:tc>
          <w:tcPr>
            <w:tcW w:w="9350" w:type="dxa"/>
          </w:tcPr>
          <w:p w14:paraId="4AC5D764" w14:textId="28AAD07A" w:rsidR="008D1922" w:rsidRPr="002B2B9B" w:rsidRDefault="008D1922" w:rsidP="00B52F6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06" w:hanging="30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Procjena stupnja inovativnosti </w:t>
            </w:r>
          </w:p>
          <w:p w14:paraId="64DBDC66" w14:textId="4E6701CB" w:rsidR="003B4568" w:rsidRPr="002B2B9B" w:rsidRDefault="003B4568" w:rsidP="00B52F6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5C79AF" w14:textId="77777777" w:rsidR="00A91030" w:rsidRPr="002B2B9B" w:rsidRDefault="00A91030" w:rsidP="00B52F6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Objašnjenje: </w:t>
            </w:r>
          </w:p>
          <w:p w14:paraId="69164E68" w14:textId="772519AC" w:rsidR="003B4568" w:rsidRPr="002B2B9B" w:rsidRDefault="00A91030" w:rsidP="00B52F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Kriterijem se proc</w:t>
            </w:r>
            <w:r w:rsidR="00D84FAB" w:rsidRPr="002B2B9B">
              <w:rPr>
                <w:rFonts w:ascii="Times New Roman" w:hAnsi="Times New Roman" w:cs="Times New Roman"/>
                <w:sz w:val="24"/>
                <w:szCs w:val="24"/>
              </w:rPr>
              <w:t>jenjuje</w:t>
            </w: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 xml:space="preserve"> temelji li se inovacija na najnovijim rezultatima istraživanja i tehnološkog razvoja te predstav</w:t>
            </w:r>
            <w:r w:rsidR="00D84FAB" w:rsidRPr="002B2B9B">
              <w:rPr>
                <w:rFonts w:ascii="Times New Roman" w:hAnsi="Times New Roman" w:cs="Times New Roman"/>
                <w:sz w:val="24"/>
                <w:szCs w:val="24"/>
              </w:rPr>
              <w:t>lja</w:t>
            </w: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 xml:space="preserve"> li radikalnu inovaciju i bolje usporedivo rješenje. </w:t>
            </w:r>
          </w:p>
          <w:p w14:paraId="5BDAD61A" w14:textId="77777777" w:rsidR="00D84FAB" w:rsidRPr="002B2B9B" w:rsidRDefault="00D84FAB" w:rsidP="00B52F67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25D26B5" w14:textId="4CEF6672" w:rsidR="00D84FAB" w:rsidRPr="002B2B9B" w:rsidRDefault="00D84FAB" w:rsidP="00B52F67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Visoka ocjena</w:t>
            </w:r>
            <w:r w:rsidR="00E442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(4-5)</w:t>
            </w:r>
            <w:r w:rsidRPr="002B2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Inovacija se temelji na najnovijim rezultatima istraživanja i tehnološkog razvoja, te je radikalno nova i bolje je usporedivo rješenje. </w:t>
            </w:r>
          </w:p>
          <w:p w14:paraId="04EEB4FA" w14:textId="29CBF4B9" w:rsidR="00D84FAB" w:rsidRPr="002B2B9B" w:rsidRDefault="00D84FAB" w:rsidP="00B52F67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Srednja ocjena</w:t>
            </w:r>
            <w:r w:rsidR="00E442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(2-3)</w:t>
            </w:r>
            <w:r w:rsidRPr="002B2B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2B2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Inovacija bi trebala rezultirati proizvodom, procesom ili uslugom koja je nešto bolja od usporedivih rješenja. </w:t>
            </w:r>
          </w:p>
          <w:p w14:paraId="76C81255" w14:textId="6BB71DA1" w:rsidR="00D84FAB" w:rsidRPr="002B2B9B" w:rsidRDefault="00D84FAB" w:rsidP="00B52F67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Niska ocjena</w:t>
            </w:r>
            <w:r w:rsidR="00E442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(1)</w:t>
            </w:r>
            <w:r w:rsidRPr="002B2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Inovacija neće dovesti do novih ili značajno poboljšanih proizvoda, proces</w:t>
            </w:r>
            <w:r w:rsidR="000D28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2B2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ili usluga. </w:t>
            </w:r>
          </w:p>
        </w:tc>
      </w:tr>
      <w:tr w:rsidR="008D1922" w:rsidRPr="002B2B9B" w14:paraId="6C13CB4D" w14:textId="77777777" w:rsidTr="00DC7AC2">
        <w:trPr>
          <w:trHeight w:val="1045"/>
        </w:trPr>
        <w:tc>
          <w:tcPr>
            <w:tcW w:w="9350" w:type="dxa"/>
          </w:tcPr>
          <w:p w14:paraId="554BF139" w14:textId="679323F0" w:rsidR="008D1922" w:rsidRPr="002B2B9B" w:rsidRDefault="00B32977" w:rsidP="00B52F6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Procjena tržišnog potencijala</w:t>
            </w:r>
          </w:p>
          <w:p w14:paraId="76832295" w14:textId="77777777" w:rsidR="00B32977" w:rsidRPr="002B2B9B" w:rsidRDefault="00B32977" w:rsidP="00B52F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29B74" w14:textId="17A28AF4" w:rsidR="00B32977" w:rsidRPr="002B2B9B" w:rsidRDefault="00B32977" w:rsidP="00B52F67">
            <w:pPr>
              <w:pStyle w:val="ListParagraph"/>
              <w:spacing w:line="276" w:lineRule="auto"/>
              <w:ind w:left="306" w:hanging="30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Objašnjenje:</w:t>
            </w:r>
          </w:p>
          <w:p w14:paraId="2AA843D0" w14:textId="6ED5B823" w:rsidR="00641062" w:rsidRPr="002B2B9B" w:rsidRDefault="00A91030" w:rsidP="00B52F67">
            <w:pPr>
              <w:pStyle w:val="ListParagraph"/>
              <w:spacing w:line="276" w:lineRule="auto"/>
              <w:ind w:left="22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Kriterijem će se procjenjivati tržišni doseg proizvoda/usluge temeljenog na predloženoj inovaciji, odnosno ima li inovacija potencijala uspjeti na ciljanom tržištu</w:t>
            </w:r>
            <w:r w:rsidR="00A65D08" w:rsidRPr="002B2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na kojem se nalazi manja konkurencija ili je uopće nema te ima li inovacija potencijal za uspjeti na globalnom tržištu.</w:t>
            </w:r>
            <w:r w:rsidR="00542E00" w:rsidRPr="002B2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BB5" w:rsidRPr="002B2B9B">
              <w:rPr>
                <w:rFonts w:ascii="Times New Roman" w:hAnsi="Times New Roman" w:cs="Times New Roman"/>
                <w:sz w:val="24"/>
                <w:szCs w:val="24"/>
              </w:rPr>
              <w:t>Procjenjivat će se također jesu li potencijalni korisnici/kupci adekvatno opisani, je li predočen poslovni model i način ulaska na ciljano tržište, ispravno procijenjen početni tržišni udio, analizirana konkurencija (supstituti), uočene potencijalne barijere ulaska na tržište, predočeni regulatorni zahtjevi koje treba ispuniti, uključivo i zahtjeve vezane za intelektualno vlasništvo.</w:t>
            </w:r>
          </w:p>
          <w:p w14:paraId="091F53A1" w14:textId="70D4BF69" w:rsidR="008807DD" w:rsidRPr="002B2B9B" w:rsidRDefault="008807DD" w:rsidP="00B52F67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Visoka ocjena</w:t>
            </w:r>
            <w:r w:rsidR="00E442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(4-5)</w:t>
            </w:r>
            <w:r w:rsidRPr="002B2B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2B2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Proizvod, proces ili usluga imaju vrlo veliki potencijal uspjeti na ciljanom i rastućem tržištu na kojem se nalazi manja konkurencija ili je uopće nema. Također postoji veliki potencijal da inovacija postane dominantna na globalnom tržištu.</w:t>
            </w:r>
            <w:r w:rsidR="00FC5BB5" w:rsidRPr="002B2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Projektnim prijedlogom su adekvatno opisani tržišni čimbenici koji utječu na komercijalnu izvodljivost predložene poslovne ideje.</w:t>
            </w:r>
            <w:r w:rsidR="00542E00" w:rsidRPr="002B2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234863FC" w14:textId="49716F58" w:rsidR="008807DD" w:rsidRDefault="008807DD" w:rsidP="00413DCD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Srednja ocjena</w:t>
            </w:r>
            <w:r w:rsidR="00E44222" w:rsidRPr="00E442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(2-3)</w:t>
            </w:r>
            <w:r w:rsidRPr="002B2B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2B2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Proizvod, proces ili usluga imaju potencijal uspjeti na ciljanom i obrađenom tržištu u skorije vrijeme, no tržište se neće širiti u budućnosti i/ili je jako izloženo potencijalu konkurencije.</w:t>
            </w:r>
            <w:r w:rsidR="00FC5BB5" w:rsidRPr="002B2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Tržišni čimbenici koji utječu na komercijalnu izvodljivost predložene poslovne ideje su donekle opisani.   </w:t>
            </w:r>
          </w:p>
          <w:p w14:paraId="2F58E3E4" w14:textId="77777777" w:rsidR="00413DCD" w:rsidRDefault="00413DCD" w:rsidP="00413DCD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Niska ocjena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(1) </w:t>
            </w:r>
            <w:r w:rsidRPr="002B2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Vjerojatnost da postoji profitabilno tržište za inovativan proizvod, proces ili uslugu je vrlo mala.</w:t>
            </w:r>
            <w:r w:rsidRPr="002B2B9B">
              <w:t xml:space="preserve"> </w:t>
            </w:r>
            <w:r w:rsidRPr="002B2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Tržišni čimbenici koji utječu na komercijalnu izvodljivost predložene poslovne ideje nisu adekvatno opisani.</w:t>
            </w:r>
          </w:p>
          <w:p w14:paraId="2A67D2EE" w14:textId="06992537" w:rsidR="008807DD" w:rsidRPr="00804707" w:rsidRDefault="008807DD" w:rsidP="00B52F67">
            <w:pPr>
              <w:pStyle w:val="ListParagraph"/>
              <w:spacing w:line="276" w:lineRule="auto"/>
              <w:ind w:left="22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922" w:rsidRPr="002B2B9B" w14:paraId="0222D4DC" w14:textId="77777777" w:rsidTr="008D1922">
        <w:tc>
          <w:tcPr>
            <w:tcW w:w="9350" w:type="dxa"/>
          </w:tcPr>
          <w:p w14:paraId="04389DD6" w14:textId="7B3FDC84" w:rsidR="00F118BD" w:rsidRPr="002B2B9B" w:rsidRDefault="00B32977" w:rsidP="00B52F67">
            <w:pPr>
              <w:spacing w:line="276" w:lineRule="auto"/>
              <w:ind w:left="306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3. </w:t>
            </w:r>
            <w:r w:rsidR="00F118BD"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Procjena </w:t>
            </w:r>
            <w:r w:rsidR="00FC5BB5"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metodologije provedbe projekta, </w:t>
            </w:r>
            <w:r w:rsidR="00F118BD"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F118BD" w:rsidRPr="002B2B9B">
              <w:rPr>
                <w:rStyle w:val="fontstyle01"/>
                <w:b/>
                <w:bCs/>
              </w:rPr>
              <w:t>trukture, kvalifikacij</w:t>
            </w:r>
            <w:r w:rsidR="00417E59" w:rsidRPr="002B2B9B">
              <w:rPr>
                <w:rStyle w:val="fontstyle01"/>
                <w:b/>
                <w:bCs/>
              </w:rPr>
              <w:t>e</w:t>
            </w:r>
            <w:r w:rsidR="00F118BD" w:rsidRPr="002B2B9B">
              <w:rPr>
                <w:rStyle w:val="fontstyle01"/>
                <w:b/>
                <w:bCs/>
              </w:rPr>
              <w:t xml:space="preserve"> i kompetencij</w:t>
            </w:r>
            <w:r w:rsidR="00417E59" w:rsidRPr="002B2B9B">
              <w:rPr>
                <w:rStyle w:val="fontstyle01"/>
                <w:b/>
                <w:bCs/>
              </w:rPr>
              <w:t xml:space="preserve">a </w:t>
            </w:r>
            <w:r w:rsidR="00F118BD" w:rsidRPr="002B2B9B">
              <w:rPr>
                <w:rStyle w:val="fontstyle01"/>
                <w:b/>
                <w:bCs/>
              </w:rPr>
              <w:t>članova projektnog tima potrebnih za provedbu projekta</w:t>
            </w:r>
          </w:p>
          <w:p w14:paraId="4996E40D" w14:textId="77777777" w:rsidR="00B32977" w:rsidRPr="002B2B9B" w:rsidRDefault="00B32977" w:rsidP="00B52F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7946C" w14:textId="77777777" w:rsidR="00B32977" w:rsidRPr="002B2B9B" w:rsidRDefault="00B32977" w:rsidP="00B52F67">
            <w:pPr>
              <w:pStyle w:val="ListParagraph"/>
              <w:spacing w:line="276" w:lineRule="auto"/>
              <w:ind w:left="306" w:hanging="30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Objašnjenje:</w:t>
            </w:r>
          </w:p>
          <w:p w14:paraId="4E6B36D1" w14:textId="5E9033FE" w:rsidR="00F118BD" w:rsidRPr="002B2B9B" w:rsidRDefault="00F118BD" w:rsidP="00B52F67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Kriterijem se ocjenjuje je li prijavitelj osigurao adekvatne ljudske resurse potrebne za provedbu projekta, na realan način definirao strukturu, kvalifikacije i kompetencije članova projektnog tima i rasporedio njihove odgovornosti tima te isplanirao upravljanje projektom</w:t>
            </w:r>
            <w:r w:rsidR="00FC5BB5" w:rsidRPr="002B2B9B">
              <w:rPr>
                <w:rFonts w:ascii="Times New Roman" w:hAnsi="Times New Roman" w:cs="Times New Roman"/>
                <w:sz w:val="24"/>
                <w:szCs w:val="24"/>
              </w:rPr>
              <w:t>, te jesu li članovi projektnog tima sposobni realizirati pos</w:t>
            </w:r>
            <w:r w:rsidR="00925F93">
              <w:rPr>
                <w:rFonts w:ascii="Times New Roman" w:hAnsi="Times New Roman" w:cs="Times New Roman"/>
                <w:sz w:val="24"/>
                <w:szCs w:val="24"/>
              </w:rPr>
              <w:t xml:space="preserve">lovnu ideju. </w:t>
            </w:r>
            <w:r w:rsidR="00FC5BB5" w:rsidRPr="002B2B9B">
              <w:rPr>
                <w:rFonts w:ascii="Times New Roman" w:hAnsi="Times New Roman" w:cs="Times New Roman"/>
                <w:sz w:val="24"/>
                <w:szCs w:val="24"/>
              </w:rPr>
              <w:t xml:space="preserve">Također se ocjenjuje je li predložena metodologija provedbe projekta adekvatna. </w:t>
            </w: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Prijavitelj kompetencije članova tima dokazuje životopisom. Ako u trenutku predaje projektnog prijedloga prijavitelj nema imenovan projektni tim, potrebno je opisati način uspostave projektnog tima, uključujući kvalifikacije i tražene kompetencije članova projektnog tima</w:t>
            </w:r>
            <w:r w:rsidR="00847343" w:rsidRPr="002B2B9B">
              <w:t xml:space="preserve"> </w:t>
            </w:r>
            <w:r w:rsidR="00847343" w:rsidRPr="002B2B9B">
              <w:rPr>
                <w:rFonts w:ascii="Times New Roman" w:hAnsi="Times New Roman" w:cs="Times New Roman"/>
                <w:sz w:val="24"/>
                <w:szCs w:val="24"/>
              </w:rPr>
              <w:t>te način osiguravanja članova projektnog tima</w:t>
            </w: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 xml:space="preserve"> (vanjska ekspertiza ili novo zapošljavanje). Odgovornosti članova projektnog tima za upravljanje i provedbu projekta moraju biti definirane i raspoređene i opisane u projektnom prijedlogu.</w:t>
            </w:r>
          </w:p>
        </w:tc>
      </w:tr>
      <w:tr w:rsidR="008D1922" w:rsidRPr="002B2B9B" w14:paraId="500BE396" w14:textId="77777777" w:rsidTr="008D1922">
        <w:tc>
          <w:tcPr>
            <w:tcW w:w="9350" w:type="dxa"/>
          </w:tcPr>
          <w:p w14:paraId="666CEBA6" w14:textId="4081E2C3" w:rsidR="008D1922" w:rsidRPr="002B2B9B" w:rsidRDefault="00B32977" w:rsidP="00B52F6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Usklađenost proračuna (troškova) sa planiranim aktivnostima</w:t>
            </w:r>
          </w:p>
          <w:p w14:paraId="3C100A7C" w14:textId="77777777" w:rsidR="00B32977" w:rsidRPr="002B2B9B" w:rsidRDefault="00B32977" w:rsidP="00B52F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F038C" w14:textId="77777777" w:rsidR="00B32977" w:rsidRPr="002B2B9B" w:rsidRDefault="00B32977" w:rsidP="00B52F67">
            <w:pPr>
              <w:pStyle w:val="ListParagraph"/>
              <w:spacing w:line="276" w:lineRule="auto"/>
              <w:ind w:left="306" w:hanging="30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Objašnjenje:</w:t>
            </w:r>
          </w:p>
          <w:p w14:paraId="0D4CA2BD" w14:textId="06C12854" w:rsidR="00B32977" w:rsidRPr="002B2B9B" w:rsidRDefault="00A91030" w:rsidP="00D44BA9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Kriterijem će se procjenjivati ima li projektni prijedlog jasan, cjelovit, izvediv i detaljno opisan plan provedbe, koji uključuje aktivnosti identificirane na odgovarajući način kao i realističnu procjenu vremenskog okvira i potrebnih resursa za njegovu provedbu uključujući adekvatan i jasno razrađen proračun.</w:t>
            </w:r>
          </w:p>
        </w:tc>
      </w:tr>
      <w:tr w:rsidR="008D1922" w:rsidRPr="002B2B9B" w14:paraId="30D7829C" w14:textId="77777777" w:rsidTr="00EE6A31">
        <w:tc>
          <w:tcPr>
            <w:tcW w:w="9350" w:type="dxa"/>
            <w:shd w:val="clear" w:color="auto" w:fill="D9E2F3" w:themeFill="accent1" w:themeFillTint="33"/>
            <w:vAlign w:val="center"/>
          </w:tcPr>
          <w:p w14:paraId="3F63BCE1" w14:textId="2A6CE495" w:rsidR="008D1922" w:rsidRPr="002B2B9B" w:rsidRDefault="00EA0C39" w:rsidP="00B52F6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Kriteriji za </w:t>
            </w:r>
            <w:r w:rsidR="005A1308"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financijsku</w:t>
            </w:r>
            <w:r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evaluaciju</w:t>
            </w:r>
          </w:p>
          <w:p w14:paraId="7326C16E" w14:textId="7051EBD0" w:rsidR="00EE6A31" w:rsidRPr="002B2B9B" w:rsidRDefault="00EE6A31" w:rsidP="00B52F6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1922" w:rsidRPr="002B2B9B" w14:paraId="4AC10F80" w14:textId="77777777" w:rsidTr="008D1922">
        <w:tc>
          <w:tcPr>
            <w:tcW w:w="9350" w:type="dxa"/>
          </w:tcPr>
          <w:p w14:paraId="0C24D1D5" w14:textId="5A6BEFBC" w:rsidR="00EA0C39" w:rsidRPr="002B2B9B" w:rsidRDefault="00A91030" w:rsidP="00B52F6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06" w:hanging="284"/>
              <w:rPr>
                <w:b/>
                <w:bCs/>
              </w:rPr>
            </w:pPr>
            <w:r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EA0C39"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onitet</w:t>
            </w:r>
          </w:p>
          <w:p w14:paraId="74312323" w14:textId="1C1DEE34" w:rsidR="00EA0C39" w:rsidRPr="002B2B9B" w:rsidRDefault="00EA0C39" w:rsidP="00B52F67">
            <w:pPr>
              <w:pStyle w:val="ListParagraph"/>
              <w:spacing w:line="276" w:lineRule="auto"/>
              <w:ind w:left="306"/>
            </w:pPr>
          </w:p>
          <w:p w14:paraId="6574DDDC" w14:textId="77777777" w:rsidR="00EA0C39" w:rsidRPr="002B2B9B" w:rsidRDefault="00EA0C39" w:rsidP="00B52F67">
            <w:pPr>
              <w:pStyle w:val="ListParagraph"/>
              <w:spacing w:line="276" w:lineRule="auto"/>
              <w:ind w:left="306" w:hanging="30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Objašnjenje:</w:t>
            </w:r>
          </w:p>
          <w:p w14:paraId="56BA7901" w14:textId="6FDC5E66" w:rsidR="00882354" w:rsidRPr="002B2B9B" w:rsidRDefault="00A91030" w:rsidP="00B52F67">
            <w:pPr>
              <w:pStyle w:val="ListParagraph"/>
              <w:spacing w:after="120" w:line="276" w:lineRule="auto"/>
              <w:ind w:left="23" w:hanging="23"/>
              <w:contextualSpacing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 xml:space="preserve">Kriterijem se procjenjuje može li prijavitelj osigurati dovoljne financijske resurse za nesmetanu provedbu projekta, odnosno </w:t>
            </w:r>
            <w:r w:rsidR="00965FFA">
              <w:rPr>
                <w:rFonts w:ascii="Times New Roman" w:hAnsi="Times New Roman" w:cs="Times New Roman"/>
                <w:sz w:val="24"/>
                <w:szCs w:val="24"/>
              </w:rPr>
              <w:t xml:space="preserve">može li se zaključiti da </w:t>
            </w: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ima zatvorenu financijsku konstrukciju</w:t>
            </w:r>
            <w:r w:rsidR="00965FFA">
              <w:rPr>
                <w:rFonts w:ascii="Times New Roman" w:hAnsi="Times New Roman" w:cs="Times New Roman"/>
                <w:sz w:val="24"/>
                <w:szCs w:val="24"/>
              </w:rPr>
              <w:t xml:space="preserve"> i dostatna sredstva za osiguravanje likvidnosti projekta</w:t>
            </w:r>
            <w:r w:rsidR="002D653C" w:rsidRPr="002B2B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AC9" w:rsidRPr="000D2890">
              <w:rPr>
                <w:rFonts w:ascii="Times New Roman" w:hAnsi="Times New Roman" w:cs="Times New Roman"/>
                <w:sz w:val="24"/>
                <w:szCs w:val="24"/>
              </w:rPr>
              <w:t>Prema ovom kriteriju je nužno da vlastiti udio u projektnom financiranju nije samo naznačen, već mora biti dokumentiran i konkretan izvor vlastitog financiranja uz dokaze (</w:t>
            </w:r>
            <w:r w:rsidR="00A37782" w:rsidRPr="00A37782">
              <w:rPr>
                <w:rFonts w:ascii="Times New Roman" w:hAnsi="Times New Roman" w:cs="Times New Roman"/>
                <w:sz w:val="24"/>
                <w:szCs w:val="24"/>
              </w:rPr>
              <w:t>Ugovor o posudbi vlasnika ili drugog trgovačkog društva, neobvezujuće pismo namjere o kreditu, oročeni depozit</w:t>
            </w:r>
            <w:r w:rsidR="00A377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37782" w:rsidRPr="00A37782">
              <w:rPr>
                <w:rFonts w:ascii="Times New Roman" w:hAnsi="Times New Roman" w:cs="Times New Roman"/>
                <w:sz w:val="24"/>
                <w:szCs w:val="24"/>
              </w:rPr>
              <w:t xml:space="preserve"> bjanko zadužnica</w:t>
            </w:r>
            <w:r w:rsidR="00A37782">
              <w:rPr>
                <w:rFonts w:ascii="Times New Roman" w:hAnsi="Times New Roman" w:cs="Times New Roman"/>
                <w:sz w:val="24"/>
                <w:szCs w:val="24"/>
              </w:rPr>
              <w:t xml:space="preserve">, ili </w:t>
            </w:r>
            <w:r w:rsidR="00B62AC9" w:rsidRPr="000D2890">
              <w:rPr>
                <w:rFonts w:ascii="Times New Roman" w:hAnsi="Times New Roman" w:cs="Times New Roman"/>
                <w:sz w:val="24"/>
                <w:szCs w:val="24"/>
              </w:rPr>
              <w:t>izjav</w:t>
            </w:r>
            <w:r w:rsidR="000D289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62AC9" w:rsidRPr="000D2890">
              <w:rPr>
                <w:rFonts w:ascii="Times New Roman" w:hAnsi="Times New Roman" w:cs="Times New Roman"/>
                <w:sz w:val="24"/>
                <w:szCs w:val="24"/>
              </w:rPr>
              <w:t xml:space="preserve"> osobe ovlaštene za vođenje poslovanja da se potreban i adekvatan iznos zadržane dobiti iz prethodnih poslovnih godina rezervira odlukom u svrhe provedbe projekta</w:t>
            </w:r>
            <w:r w:rsidR="00F52BF5" w:rsidRPr="000D289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832DF" w:rsidRPr="002B2B9B" w14:paraId="05922B2B" w14:textId="77777777" w:rsidTr="008D1922">
        <w:tc>
          <w:tcPr>
            <w:tcW w:w="9350" w:type="dxa"/>
          </w:tcPr>
          <w:p w14:paraId="4098AD7C" w14:textId="77777777" w:rsidR="00EA0C39" w:rsidRPr="002B2B9B" w:rsidRDefault="00EE6A31" w:rsidP="00B52F6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06" w:hanging="284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Proračunska usklađenost i prihvatljivost troškova</w:t>
            </w:r>
          </w:p>
          <w:p w14:paraId="13FFE6DE" w14:textId="77777777" w:rsidR="00EE6A31" w:rsidRPr="002B2B9B" w:rsidRDefault="00EE6A31" w:rsidP="00B52F6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488141" w14:textId="77777777" w:rsidR="00EE6A31" w:rsidRPr="002B2B9B" w:rsidRDefault="00EE6A31" w:rsidP="00B52F67">
            <w:pPr>
              <w:pStyle w:val="ListParagraph"/>
              <w:spacing w:line="276" w:lineRule="auto"/>
              <w:ind w:left="306" w:hanging="306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Objašnjenje:</w:t>
            </w:r>
          </w:p>
          <w:p w14:paraId="01E33C6F" w14:textId="3DBF931B" w:rsidR="00EE6A31" w:rsidRPr="002B2B9B" w:rsidRDefault="00A91030" w:rsidP="00B52F67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Kriterijem se provjerava ispunjava li projektni prijedlog kriterije prihvatljivosti u odnosu na najmanji i najviši iznos bespovratnih sredstava, intenzitet i vrstu potpore, trajanje potpore, minimalni i maksimalni ukupni troškovi kao i vlastiti udio prijavitelja sukladno Uputama za prijavitelje.</w:t>
            </w:r>
          </w:p>
        </w:tc>
      </w:tr>
    </w:tbl>
    <w:p w14:paraId="36EAAC2F" w14:textId="77777777" w:rsidR="005720B5" w:rsidRPr="002B2B9B" w:rsidRDefault="005720B5" w:rsidP="00505451">
      <w:pPr>
        <w:rPr>
          <w:color w:val="000000" w:themeColor="text1"/>
        </w:rPr>
      </w:pPr>
    </w:p>
    <w:sectPr w:rsidR="005720B5" w:rsidRPr="002B2B9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E746A" w14:textId="77777777" w:rsidR="007A5EB2" w:rsidRDefault="007A5EB2" w:rsidP="00D1278B">
      <w:pPr>
        <w:spacing w:after="0" w:line="240" w:lineRule="auto"/>
      </w:pPr>
      <w:r>
        <w:separator/>
      </w:r>
    </w:p>
  </w:endnote>
  <w:endnote w:type="continuationSeparator" w:id="0">
    <w:p w14:paraId="0D618E54" w14:textId="77777777" w:rsidR="007A5EB2" w:rsidRDefault="007A5EB2" w:rsidP="00D1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741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4F5C1D" w14:textId="5FCC6D13" w:rsidR="0040636B" w:rsidRDefault="00BD3AB9" w:rsidP="002D1A0F">
            <w:pPr>
              <w:pStyle w:val="Footer"/>
              <w:jc w:val="center"/>
            </w:pPr>
            <w:r w:rsidRPr="00BD3AB9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Pr="00BD3AB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BD3AB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BD3AB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304364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7</w:t>
            </w:r>
            <w:r w:rsidRPr="00BD3AB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BD3AB9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Pr="00BD3AB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BD3AB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BD3AB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304364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7</w:t>
            </w:r>
            <w:r w:rsidRPr="00BD3AB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4B597" w14:textId="77777777" w:rsidR="007A5EB2" w:rsidRDefault="007A5EB2" w:rsidP="00D1278B">
      <w:pPr>
        <w:spacing w:after="0" w:line="240" w:lineRule="auto"/>
      </w:pPr>
      <w:r>
        <w:separator/>
      </w:r>
    </w:p>
  </w:footnote>
  <w:footnote w:type="continuationSeparator" w:id="0">
    <w:p w14:paraId="4C7CC2CE" w14:textId="77777777" w:rsidR="007A5EB2" w:rsidRDefault="007A5EB2" w:rsidP="00D12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CC33D" w14:textId="520CF1E1" w:rsidR="00A83140" w:rsidRPr="00BD3AB9" w:rsidRDefault="00A83140">
    <w:pPr>
      <w:pStyle w:val="Header"/>
      <w:rPr>
        <w:rFonts w:ascii="Times New Roman" w:hAnsi="Times New Roman" w:cs="Times New Roman"/>
      </w:rPr>
    </w:pPr>
    <w:r>
      <w:rPr>
        <w:noProof/>
        <w:lang w:val="en-US"/>
      </w:rPr>
      <w:drawing>
        <wp:inline distT="0" distB="0" distL="0" distR="0" wp14:anchorId="5DC10C2F" wp14:editId="3FB33C89">
          <wp:extent cx="2371725" cy="664210"/>
          <wp:effectExtent l="0" t="0" r="952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hr-HR"/>
      </w:rPr>
      <w:t xml:space="preserve">                            </w:t>
    </w:r>
    <w:r w:rsidRPr="00BD3AB9">
      <w:rPr>
        <w:rFonts w:ascii="Times New Roman" w:hAnsi="Times New Roman" w:cs="Times New Roman"/>
        <w:noProof/>
        <w:lang w:val="en-US"/>
      </w:rPr>
      <w:drawing>
        <wp:inline distT="0" distB="0" distL="0" distR="0" wp14:anchorId="65C53B54" wp14:editId="4D7685EB">
          <wp:extent cx="2463165" cy="676910"/>
          <wp:effectExtent l="0" t="0" r="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56E5"/>
    <w:multiLevelType w:val="hybridMultilevel"/>
    <w:tmpl w:val="B7802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F3F98"/>
    <w:multiLevelType w:val="hybridMultilevel"/>
    <w:tmpl w:val="81C62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3459C"/>
    <w:multiLevelType w:val="hybridMultilevel"/>
    <w:tmpl w:val="8B70F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F0129"/>
    <w:multiLevelType w:val="hybridMultilevel"/>
    <w:tmpl w:val="47981E90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8732950"/>
    <w:multiLevelType w:val="hybridMultilevel"/>
    <w:tmpl w:val="54B40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B3739"/>
    <w:multiLevelType w:val="hybridMultilevel"/>
    <w:tmpl w:val="E2E87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D314A"/>
    <w:multiLevelType w:val="hybridMultilevel"/>
    <w:tmpl w:val="902C5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65378"/>
    <w:multiLevelType w:val="hybridMultilevel"/>
    <w:tmpl w:val="0A5013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51"/>
    <w:rsid w:val="0003665F"/>
    <w:rsid w:val="000B5E81"/>
    <w:rsid w:val="000B64FA"/>
    <w:rsid w:val="000D2890"/>
    <w:rsid w:val="000E7C33"/>
    <w:rsid w:val="000F2569"/>
    <w:rsid w:val="00125627"/>
    <w:rsid w:val="00137FB8"/>
    <w:rsid w:val="00144224"/>
    <w:rsid w:val="00144564"/>
    <w:rsid w:val="00151E57"/>
    <w:rsid w:val="00183302"/>
    <w:rsid w:val="0019245B"/>
    <w:rsid w:val="001A26D6"/>
    <w:rsid w:val="001C7A62"/>
    <w:rsid w:val="001D5921"/>
    <w:rsid w:val="001D77A0"/>
    <w:rsid w:val="00205EC7"/>
    <w:rsid w:val="002237C1"/>
    <w:rsid w:val="00232ADB"/>
    <w:rsid w:val="002352B2"/>
    <w:rsid w:val="00254C2F"/>
    <w:rsid w:val="002B2B9B"/>
    <w:rsid w:val="002C79F9"/>
    <w:rsid w:val="002D1A0F"/>
    <w:rsid w:val="002D2639"/>
    <w:rsid w:val="002D3E53"/>
    <w:rsid w:val="002D5D42"/>
    <w:rsid w:val="002D653C"/>
    <w:rsid w:val="002F6E2C"/>
    <w:rsid w:val="003036E0"/>
    <w:rsid w:val="00304364"/>
    <w:rsid w:val="00306C43"/>
    <w:rsid w:val="00311C27"/>
    <w:rsid w:val="00356E85"/>
    <w:rsid w:val="00370F7E"/>
    <w:rsid w:val="003770EF"/>
    <w:rsid w:val="00380355"/>
    <w:rsid w:val="0038195F"/>
    <w:rsid w:val="003B4273"/>
    <w:rsid w:val="003B4568"/>
    <w:rsid w:val="003C7549"/>
    <w:rsid w:val="003D23F2"/>
    <w:rsid w:val="003D4B63"/>
    <w:rsid w:val="003E558F"/>
    <w:rsid w:val="003F715E"/>
    <w:rsid w:val="00405C52"/>
    <w:rsid w:val="0040636B"/>
    <w:rsid w:val="00413DCD"/>
    <w:rsid w:val="00417E59"/>
    <w:rsid w:val="00422ACC"/>
    <w:rsid w:val="004728BB"/>
    <w:rsid w:val="00475F9E"/>
    <w:rsid w:val="004843DB"/>
    <w:rsid w:val="00485235"/>
    <w:rsid w:val="004A0A47"/>
    <w:rsid w:val="004A630E"/>
    <w:rsid w:val="004B5495"/>
    <w:rsid w:val="004C5D3B"/>
    <w:rsid w:val="004D542F"/>
    <w:rsid w:val="004E2417"/>
    <w:rsid w:val="00505451"/>
    <w:rsid w:val="00526F03"/>
    <w:rsid w:val="005275DE"/>
    <w:rsid w:val="00542E00"/>
    <w:rsid w:val="00545087"/>
    <w:rsid w:val="005472E5"/>
    <w:rsid w:val="0057105E"/>
    <w:rsid w:val="005720B5"/>
    <w:rsid w:val="00574D49"/>
    <w:rsid w:val="005819B9"/>
    <w:rsid w:val="005A1308"/>
    <w:rsid w:val="005B0BEB"/>
    <w:rsid w:val="005D1091"/>
    <w:rsid w:val="005F3F5C"/>
    <w:rsid w:val="006008F5"/>
    <w:rsid w:val="00603CD5"/>
    <w:rsid w:val="00641062"/>
    <w:rsid w:val="0064500D"/>
    <w:rsid w:val="006453E3"/>
    <w:rsid w:val="00657767"/>
    <w:rsid w:val="006900A4"/>
    <w:rsid w:val="0069514B"/>
    <w:rsid w:val="00695F7E"/>
    <w:rsid w:val="006D30F0"/>
    <w:rsid w:val="006D54E5"/>
    <w:rsid w:val="007212BF"/>
    <w:rsid w:val="007411FE"/>
    <w:rsid w:val="007A416A"/>
    <w:rsid w:val="007A5EB2"/>
    <w:rsid w:val="007B1357"/>
    <w:rsid w:val="00803C1F"/>
    <w:rsid w:val="00804707"/>
    <w:rsid w:val="008148B0"/>
    <w:rsid w:val="00816825"/>
    <w:rsid w:val="008242B4"/>
    <w:rsid w:val="00834D99"/>
    <w:rsid w:val="00842A79"/>
    <w:rsid w:val="00847343"/>
    <w:rsid w:val="0085481E"/>
    <w:rsid w:val="008807DD"/>
    <w:rsid w:val="00882354"/>
    <w:rsid w:val="008A0327"/>
    <w:rsid w:val="008B2F96"/>
    <w:rsid w:val="008D1922"/>
    <w:rsid w:val="008F160B"/>
    <w:rsid w:val="00917A93"/>
    <w:rsid w:val="00921F32"/>
    <w:rsid w:val="00925F93"/>
    <w:rsid w:val="0093055E"/>
    <w:rsid w:val="00930CC2"/>
    <w:rsid w:val="00956CB7"/>
    <w:rsid w:val="0096083F"/>
    <w:rsid w:val="00965FFA"/>
    <w:rsid w:val="00994E88"/>
    <w:rsid w:val="009B3D41"/>
    <w:rsid w:val="009B5BFC"/>
    <w:rsid w:val="009C3000"/>
    <w:rsid w:val="009D69C1"/>
    <w:rsid w:val="009E7807"/>
    <w:rsid w:val="00A112CD"/>
    <w:rsid w:val="00A14896"/>
    <w:rsid w:val="00A37782"/>
    <w:rsid w:val="00A5380F"/>
    <w:rsid w:val="00A65D08"/>
    <w:rsid w:val="00A83140"/>
    <w:rsid w:val="00A91030"/>
    <w:rsid w:val="00A9652A"/>
    <w:rsid w:val="00AC511C"/>
    <w:rsid w:val="00AE007F"/>
    <w:rsid w:val="00AE0918"/>
    <w:rsid w:val="00AF020A"/>
    <w:rsid w:val="00B21943"/>
    <w:rsid w:val="00B30D0D"/>
    <w:rsid w:val="00B32977"/>
    <w:rsid w:val="00B52F67"/>
    <w:rsid w:val="00B57B2D"/>
    <w:rsid w:val="00B60A53"/>
    <w:rsid w:val="00B62AC9"/>
    <w:rsid w:val="00B659C8"/>
    <w:rsid w:val="00B66713"/>
    <w:rsid w:val="00B7165E"/>
    <w:rsid w:val="00B737DB"/>
    <w:rsid w:val="00B74737"/>
    <w:rsid w:val="00B76EB8"/>
    <w:rsid w:val="00B80FAD"/>
    <w:rsid w:val="00B828FA"/>
    <w:rsid w:val="00BC051F"/>
    <w:rsid w:val="00BC3996"/>
    <w:rsid w:val="00BD3AB9"/>
    <w:rsid w:val="00BE21C5"/>
    <w:rsid w:val="00C21D39"/>
    <w:rsid w:val="00C265D0"/>
    <w:rsid w:val="00C71C79"/>
    <w:rsid w:val="00C8361E"/>
    <w:rsid w:val="00CF0454"/>
    <w:rsid w:val="00CF1E21"/>
    <w:rsid w:val="00CF2365"/>
    <w:rsid w:val="00CF42AA"/>
    <w:rsid w:val="00D1278B"/>
    <w:rsid w:val="00D13900"/>
    <w:rsid w:val="00D168B4"/>
    <w:rsid w:val="00D44BA9"/>
    <w:rsid w:val="00D4725A"/>
    <w:rsid w:val="00D5028C"/>
    <w:rsid w:val="00D628DF"/>
    <w:rsid w:val="00D83111"/>
    <w:rsid w:val="00D84FAB"/>
    <w:rsid w:val="00D90AEF"/>
    <w:rsid w:val="00D92901"/>
    <w:rsid w:val="00DA4A32"/>
    <w:rsid w:val="00DC20F6"/>
    <w:rsid w:val="00DC2244"/>
    <w:rsid w:val="00DC7AC2"/>
    <w:rsid w:val="00DE1473"/>
    <w:rsid w:val="00E0245B"/>
    <w:rsid w:val="00E32D17"/>
    <w:rsid w:val="00E44222"/>
    <w:rsid w:val="00E504B8"/>
    <w:rsid w:val="00E50E4F"/>
    <w:rsid w:val="00E73850"/>
    <w:rsid w:val="00E80238"/>
    <w:rsid w:val="00EA0C39"/>
    <w:rsid w:val="00EA4135"/>
    <w:rsid w:val="00EA6C64"/>
    <w:rsid w:val="00EC0904"/>
    <w:rsid w:val="00EE6A31"/>
    <w:rsid w:val="00EF1B87"/>
    <w:rsid w:val="00F01A52"/>
    <w:rsid w:val="00F118BD"/>
    <w:rsid w:val="00F11928"/>
    <w:rsid w:val="00F13B61"/>
    <w:rsid w:val="00F52BF5"/>
    <w:rsid w:val="00F576A2"/>
    <w:rsid w:val="00F832DF"/>
    <w:rsid w:val="00F9468F"/>
    <w:rsid w:val="00F97D35"/>
    <w:rsid w:val="00FA6D0F"/>
    <w:rsid w:val="00FA77CB"/>
    <w:rsid w:val="00FB3BA1"/>
    <w:rsid w:val="00FC2638"/>
    <w:rsid w:val="00FC5BB5"/>
    <w:rsid w:val="00FD1F17"/>
    <w:rsid w:val="00FE5F32"/>
    <w:rsid w:val="00FF2C36"/>
    <w:rsid w:val="00FF4348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7D0B17A"/>
  <w15:chartTrackingRefBased/>
  <w15:docId w15:val="{C6FE6A0A-5E9D-42AD-B150-9FD61468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5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50545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05451"/>
    <w:pPr>
      <w:ind w:left="720"/>
      <w:contextualSpacing/>
    </w:pPr>
  </w:style>
  <w:style w:type="character" w:styleId="CommentReference">
    <w:name w:val="annotation reference"/>
    <w:unhideWhenUsed/>
    <w:rsid w:val="00DC224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C2244"/>
    <w:pPr>
      <w:spacing w:after="200" w:line="276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C2244"/>
    <w:rPr>
      <w:rFonts w:eastAsiaTheme="minorEastAsia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308"/>
    <w:pPr>
      <w:spacing w:after="160" w:line="240" w:lineRule="auto"/>
    </w:pPr>
    <w:rPr>
      <w:rFonts w:eastAsiaTheme="minorHAns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308"/>
    <w:rPr>
      <w:rFonts w:eastAsiaTheme="minorEastAsia"/>
      <w:b/>
      <w:bCs/>
      <w:sz w:val="20"/>
      <w:szCs w:val="20"/>
      <w:lang w:val="hr-HR"/>
    </w:rPr>
  </w:style>
  <w:style w:type="paragraph" w:styleId="Revision">
    <w:name w:val="Revision"/>
    <w:hidden/>
    <w:uiPriority w:val="99"/>
    <w:semiHidden/>
    <w:rsid w:val="007B1357"/>
    <w:pPr>
      <w:spacing w:after="0" w:line="240" w:lineRule="auto"/>
    </w:pPr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E00"/>
    <w:rPr>
      <w:rFonts w:ascii="Segoe UI" w:hAnsi="Segoe UI" w:cs="Segoe UI"/>
      <w:sz w:val="18"/>
      <w:szCs w:val="18"/>
      <w:lang w:val="hr-HR"/>
    </w:rPr>
  </w:style>
  <w:style w:type="character" w:customStyle="1" w:styleId="Bodytext285pt">
    <w:name w:val="Body text (2) + 8;5 pt"/>
    <w:basedOn w:val="DefaultParagraphFont"/>
    <w:rsid w:val="005710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06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36B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406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36B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9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1A63F669E674481FADA5FD46FA9AA" ma:contentTypeVersion="11" ma:contentTypeDescription="Create a new document." ma:contentTypeScope="" ma:versionID="44a8af76039c8f95adbc0be6eb5ddae3">
  <xsd:schema xmlns:xsd="http://www.w3.org/2001/XMLSchema" xmlns:xs="http://www.w3.org/2001/XMLSchema" xmlns:p="http://schemas.microsoft.com/office/2006/metadata/properties" xmlns:ns2="9bc3fca8-97d0-469e-b2a2-9da192aebc5e" xmlns:ns3="7784f483-2efd-46db-ba22-d280afa9a2c1" targetNamespace="http://schemas.microsoft.com/office/2006/metadata/properties" ma:root="true" ma:fieldsID="9ab90b567dab06a948e581bb07da61f3" ns2:_="" ns3:_="">
    <xsd:import namespace="9bc3fca8-97d0-469e-b2a2-9da192aebc5e"/>
    <xsd:import namespace="7784f483-2efd-46db-ba22-d280afa9a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3fca8-97d0-469e-b2a2-9da192aeb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f483-2efd-46db-ba22-d280afa9a2c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9CF4D4-63CC-4176-9874-2848BC6AA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3fca8-97d0-469e-b2a2-9da192aebc5e"/>
    <ds:schemaRef ds:uri="7784f483-2efd-46db-ba22-d280afa9a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DF8244-B4F8-4C2B-924E-AB9B3ED5E2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19D3C1-A198-401C-B7DE-68EE38BF10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slusetic</dc:creator>
  <cp:keywords/>
  <dc:description/>
  <cp:lastModifiedBy>MZO</cp:lastModifiedBy>
  <cp:revision>14</cp:revision>
  <dcterms:created xsi:type="dcterms:W3CDTF">2022-08-10T09:31:00Z</dcterms:created>
  <dcterms:modified xsi:type="dcterms:W3CDTF">2022-08-23T13:45:00Z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0x0101002C21A63F669E674481FADA5FD46FA9AA</vt:lpwstr>
  </property>
</Properties>
</file>