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20B3B" w14:textId="77777777" w:rsidR="00D0103E" w:rsidRPr="00C93169" w:rsidRDefault="00D0103E" w:rsidP="003851DC">
      <w:pPr>
        <w:spacing w:before="0" w:after="0"/>
        <w:contextualSpacing/>
        <w:rPr>
          <w:rFonts w:ascii="Times New Roman" w:eastAsia="Times New Roman" w:hAnsi="Times New Roman" w:cs="Times New Roman"/>
          <w:b/>
          <w:bCs/>
          <w:sz w:val="24"/>
          <w:szCs w:val="24"/>
          <w:lang w:eastAsia="hr-HR"/>
        </w:rPr>
      </w:pPr>
    </w:p>
    <w:p w14:paraId="1E3DD3AB" w14:textId="77777777" w:rsidR="008A02CC" w:rsidRDefault="00136817" w:rsidP="00136817">
      <w:pPr>
        <w:jc w:val="center"/>
        <w:rPr>
          <w:rFonts w:ascii="Times New Roman" w:hAnsi="Times New Roman" w:cs="Times New Roman"/>
          <w:b/>
          <w:sz w:val="28"/>
        </w:rPr>
      </w:pPr>
      <w:r w:rsidRPr="00243264">
        <w:rPr>
          <w:rFonts w:ascii="Times New Roman" w:hAnsi="Times New Roman" w:cs="Times New Roman"/>
          <w:b/>
          <w:sz w:val="28"/>
        </w:rPr>
        <w:t>POZIV NA DODJELU BESPOVRATNIH SREDSTAVA</w:t>
      </w:r>
      <w:r w:rsidRPr="00243264" w:rsidDel="006033F3">
        <w:rPr>
          <w:rFonts w:ascii="Times New Roman" w:hAnsi="Times New Roman" w:cs="Times New Roman"/>
          <w:b/>
          <w:sz w:val="28"/>
        </w:rPr>
        <w:t xml:space="preserve"> </w:t>
      </w:r>
    </w:p>
    <w:p w14:paraId="0E7C78CD" w14:textId="054801EE" w:rsidR="001B28C7" w:rsidRDefault="001B28C7" w:rsidP="00136817">
      <w:pPr>
        <w:spacing w:after="0"/>
        <w:jc w:val="center"/>
        <w:rPr>
          <w:rFonts w:ascii="Times New Roman" w:eastAsiaTheme="minorEastAsia" w:hAnsi="Times New Roman" w:cs="Times New Roman"/>
          <w:b/>
          <w:bCs/>
          <w:color w:val="171796"/>
          <w:sz w:val="28"/>
          <w:szCs w:val="40"/>
          <w:lang w:eastAsia="hr-HR"/>
        </w:rPr>
      </w:pPr>
      <w:r w:rsidRPr="001B28C7">
        <w:rPr>
          <w:rFonts w:ascii="Times New Roman" w:eastAsiaTheme="minorEastAsia" w:hAnsi="Times New Roman" w:cs="Times New Roman"/>
          <w:b/>
          <w:bCs/>
          <w:color w:val="171796"/>
          <w:sz w:val="28"/>
          <w:szCs w:val="40"/>
          <w:lang w:eastAsia="hr-HR"/>
        </w:rPr>
        <w:t xml:space="preserve">START-UP/SPIN OFF PODUZEĆA MLADIH ISTRAŽIVAČA </w:t>
      </w:r>
    </w:p>
    <w:p w14:paraId="54052ED2" w14:textId="3AEC3ACC" w:rsidR="00136817" w:rsidRPr="002B2B9B" w:rsidRDefault="00136817" w:rsidP="00136817">
      <w:pPr>
        <w:spacing w:after="0"/>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2B2B9B">
        <w:rPr>
          <w:rFonts w:ascii="Times New Roman" w:hAnsi="Times New Roman" w:cs="Times New Roman"/>
          <w:b/>
          <w:i/>
          <w:sz w:val="24"/>
          <w:szCs w:val="24"/>
        </w:rPr>
        <w:t>referentni broj:</w:t>
      </w:r>
      <w:r w:rsidR="009C44B2">
        <w:rPr>
          <w:rFonts w:ascii="Times New Roman" w:hAnsi="Times New Roman" w:cs="Times New Roman"/>
          <w:b/>
          <w:i/>
          <w:sz w:val="24"/>
          <w:szCs w:val="24"/>
        </w:rPr>
        <w:t xml:space="preserve"> </w:t>
      </w:r>
      <w:r w:rsidR="00F96838" w:rsidRPr="00AA65F1">
        <w:rPr>
          <w:rStyle w:val="Bodytext285pt"/>
          <w:rFonts w:eastAsiaTheme="minorHAnsi"/>
          <w:b/>
          <w:i/>
          <w:sz w:val="24"/>
        </w:rPr>
        <w:t>C3.2.R</w:t>
      </w:r>
      <w:r w:rsidR="001B28C7" w:rsidRPr="00AA65F1">
        <w:rPr>
          <w:rStyle w:val="Bodytext285pt"/>
          <w:rFonts w:eastAsiaTheme="minorHAnsi"/>
          <w:b/>
          <w:i/>
          <w:sz w:val="24"/>
        </w:rPr>
        <w:t>2-I1.0</w:t>
      </w:r>
      <w:r w:rsidR="00AA65F1" w:rsidRPr="00AA65F1">
        <w:rPr>
          <w:rStyle w:val="Bodytext285pt"/>
          <w:rFonts w:eastAsiaTheme="minorHAnsi"/>
          <w:b/>
          <w:i/>
          <w:sz w:val="24"/>
        </w:rPr>
        <w:t>4</w:t>
      </w:r>
      <w:r w:rsidRPr="00AA65F1">
        <w:rPr>
          <w:rFonts w:ascii="Times New Roman" w:hAnsi="Times New Roman" w:cs="Times New Roman"/>
          <w:b/>
          <w:i/>
          <w:sz w:val="24"/>
          <w:szCs w:val="24"/>
        </w:rPr>
        <w:t>)</w:t>
      </w:r>
    </w:p>
    <w:p w14:paraId="65E21B9C" w14:textId="77777777" w:rsidR="00136817" w:rsidRPr="002B2B9B" w:rsidRDefault="00136817" w:rsidP="00136817">
      <w:pPr>
        <w:jc w:val="center"/>
        <w:rPr>
          <w:rFonts w:ascii="Times New Roman" w:hAnsi="Times New Roman" w:cs="Times New Roman"/>
          <w:b/>
          <w:sz w:val="24"/>
        </w:rPr>
      </w:pPr>
    </w:p>
    <w:p w14:paraId="2E4A0A09" w14:textId="5E427940" w:rsidR="00136817" w:rsidRPr="00243264" w:rsidRDefault="00AE669A" w:rsidP="00136817">
      <w:pPr>
        <w:tabs>
          <w:tab w:val="left" w:pos="1257"/>
        </w:tabs>
        <w:jc w:val="center"/>
        <w:rPr>
          <w:rFonts w:ascii="Times New Roman" w:eastAsiaTheme="minorEastAsia" w:hAnsi="Times New Roman" w:cs="Times New Roman"/>
          <w:b/>
          <w:bCs/>
          <w:color w:val="171796"/>
          <w:sz w:val="28"/>
          <w:szCs w:val="40"/>
          <w:lang w:eastAsia="hr-HR"/>
        </w:rPr>
      </w:pPr>
      <w:r>
        <w:rPr>
          <w:rFonts w:ascii="Times New Roman" w:eastAsiaTheme="minorEastAsia" w:hAnsi="Times New Roman" w:cs="Times New Roman"/>
          <w:b/>
          <w:bCs/>
          <w:color w:val="171796"/>
          <w:sz w:val="28"/>
          <w:szCs w:val="40"/>
          <w:lang w:eastAsia="hr-HR"/>
        </w:rPr>
        <w:t>PRILOG 5</w:t>
      </w:r>
      <w:r w:rsidR="00136817" w:rsidRPr="00243264">
        <w:rPr>
          <w:rFonts w:ascii="Times New Roman" w:eastAsiaTheme="minorEastAsia" w:hAnsi="Times New Roman" w:cs="Times New Roman"/>
          <w:b/>
          <w:bCs/>
          <w:color w:val="171796"/>
          <w:sz w:val="28"/>
          <w:szCs w:val="40"/>
          <w:lang w:eastAsia="hr-HR"/>
        </w:rPr>
        <w:t xml:space="preserve">. </w:t>
      </w:r>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1FD35E61"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 xml:space="preserve">Ugovora o dodjeli bespovratnih sredstava za projekte koji se financiraju u okviru </w:t>
      </w:r>
      <w:r w:rsidR="00AC4D7E">
        <w:rPr>
          <w:rFonts w:ascii="Times New Roman" w:eastAsia="Times New Roman" w:hAnsi="Times New Roman" w:cs="Times New Roman"/>
          <w:bCs/>
          <w:sz w:val="24"/>
          <w:szCs w:val="24"/>
          <w:lang w:eastAsia="hr-HR"/>
        </w:rPr>
        <w:t>Nacionalnog plana oporavka i otpornosti 2021.-2026.</w:t>
      </w:r>
      <w:r w:rsidRPr="00DC1AD5">
        <w:rPr>
          <w:rFonts w:ascii="Times New Roman" w:eastAsia="Times New Roman" w:hAnsi="Times New Roman" w:cs="Times New Roman"/>
          <w:bCs/>
          <w:sz w:val="24"/>
          <w:szCs w:val="24"/>
          <w:lang w:eastAsia="hr-HR"/>
        </w:rPr>
        <w:t xml:space="preserve"> (u daljnjem tekstu: </w:t>
      </w:r>
      <w:r w:rsidR="00AC4D7E">
        <w:rPr>
          <w:rFonts w:ascii="Times New Roman" w:eastAsia="Times New Roman" w:hAnsi="Times New Roman" w:cs="Times New Roman"/>
          <w:bCs/>
          <w:sz w:val="24"/>
          <w:szCs w:val="24"/>
          <w:lang w:eastAsia="hr-HR"/>
        </w:rPr>
        <w:t>NPOO</w:t>
      </w:r>
      <w:r w:rsidRPr="00DC1AD5">
        <w:rPr>
          <w:rFonts w:ascii="Times New Roman" w:eastAsia="Times New Roman" w:hAnsi="Times New Roman" w:cs="Times New Roman"/>
          <w:bCs/>
          <w:sz w:val="24"/>
          <w:szCs w:val="24"/>
          <w:lang w:eastAsia="hr-HR"/>
        </w:rPr>
        <w:t>).</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r w:rsidR="0047353E" w:rsidRPr="00DC1AD5">
        <w:rPr>
          <w:rFonts w:ascii="Times New Roman" w:eastAsia="Calibri" w:hAnsi="Times New Roman" w:cs="Times New Roman"/>
          <w:sz w:val="24"/>
          <w:szCs w:val="24"/>
        </w:rPr>
        <w:t>neobveznici</w:t>
      </w:r>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038C6D4B" w14:textId="072426CE"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w:t>
      </w:r>
      <w:r w:rsidR="00AC4D7E">
        <w:rPr>
          <w:rFonts w:ascii="Times New Roman" w:eastAsia="Times New Roman" w:hAnsi="Times New Roman" w:cs="Times New Roman"/>
          <w:sz w:val="24"/>
          <w:szCs w:val="24"/>
          <w:lang w:eastAsia="hr-HR"/>
        </w:rPr>
        <w:t>5</w:t>
      </w:r>
      <w:r w:rsidRPr="00EC6390">
        <w:rPr>
          <w:rFonts w:ascii="Times New Roman" w:eastAsia="Times New Roman" w:hAnsi="Times New Roman" w:cs="Times New Roman"/>
          <w:sz w:val="24"/>
          <w:szCs w:val="24"/>
          <w:lang w:eastAsia="hr-HR"/>
        </w:rPr>
        <w:t>)</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10F16FE7"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6103395A" w14:textId="5E138117" w:rsidR="000E45B1" w:rsidRPr="00DC1AD5" w:rsidRDefault="000E45B1" w:rsidP="000E45B1">
      <w:pPr>
        <w:jc w:val="both"/>
        <w:rPr>
          <w:rFonts w:ascii="Times New Roman" w:eastAsia="Times New Roman" w:hAnsi="Times New Roman" w:cs="Times New Roman"/>
          <w:sz w:val="24"/>
          <w:szCs w:val="24"/>
        </w:rPr>
      </w:pPr>
      <w:r w:rsidRPr="002C6F65">
        <w:rPr>
          <w:rFonts w:ascii="Times New Roman" w:eastAsia="Times New Roman" w:hAnsi="Times New Roman" w:cs="Times New Roman"/>
          <w:sz w:val="24"/>
          <w:szCs w:val="24"/>
        </w:rPr>
        <w:lastRenderedPageBreak/>
        <w:t xml:space="preserve">2. </w:t>
      </w:r>
      <w:r w:rsidRPr="002C6F65">
        <w:rPr>
          <w:rFonts w:ascii="Times New Roman" w:eastAsia="Times New Roman" w:hAnsi="Times New Roman" w:cs="Times New Roman"/>
          <w:i/>
          <w:sz w:val="24"/>
          <w:szCs w:val="24"/>
        </w:rPr>
        <w:t>Nadležno tijelo</w:t>
      </w:r>
      <w:r w:rsidRPr="002C6F65">
        <w:rPr>
          <w:rFonts w:ascii="Times New Roman" w:eastAsia="Times New Roman" w:hAnsi="Times New Roman" w:cs="Times New Roman"/>
          <w:sz w:val="24"/>
          <w:szCs w:val="24"/>
        </w:rPr>
        <w:t xml:space="preserve"> je </w:t>
      </w:r>
      <w:r w:rsidR="00D40619" w:rsidRPr="002C6F65">
        <w:rPr>
          <w:rFonts w:ascii="Times New Roman" w:eastAsia="Times New Roman" w:hAnsi="Times New Roman" w:cs="Times New Roman"/>
          <w:sz w:val="24"/>
          <w:szCs w:val="24"/>
        </w:rPr>
        <w:t>Tijelo nadležno za p</w:t>
      </w:r>
      <w:r w:rsidR="006A6BDA" w:rsidRPr="002C6F65">
        <w:rPr>
          <w:rFonts w:ascii="Times New Roman" w:eastAsia="Times New Roman" w:hAnsi="Times New Roman" w:cs="Times New Roman"/>
          <w:sz w:val="24"/>
          <w:szCs w:val="24"/>
        </w:rPr>
        <w:t>ojedinu komponentu</w:t>
      </w:r>
      <w:r w:rsidR="00A82971" w:rsidRPr="002C6F65">
        <w:rPr>
          <w:rFonts w:ascii="Times New Roman" w:eastAsia="Times New Roman" w:hAnsi="Times New Roman" w:cs="Times New Roman"/>
          <w:sz w:val="24"/>
          <w:szCs w:val="24"/>
        </w:rPr>
        <w:t xml:space="preserve">/podkomponentu </w:t>
      </w:r>
      <w:r w:rsidR="00D40619" w:rsidRPr="002C6F65" w:rsidDel="00D40619">
        <w:rPr>
          <w:rFonts w:ascii="Times New Roman" w:eastAsia="Times New Roman" w:hAnsi="Times New Roman" w:cs="Times New Roman"/>
          <w:sz w:val="24"/>
          <w:szCs w:val="24"/>
        </w:rPr>
        <w:t xml:space="preserve"> </w:t>
      </w:r>
      <w:r w:rsidRPr="002C6F65">
        <w:rPr>
          <w:rFonts w:ascii="Times New Roman" w:eastAsia="Times New Roman" w:hAnsi="Times New Roman" w:cs="Times New Roman"/>
          <w:sz w:val="24"/>
          <w:szCs w:val="24"/>
        </w:rPr>
        <w:t>i/ili P</w:t>
      </w:r>
      <w:r w:rsidR="00D40619" w:rsidRPr="002C6F65">
        <w:rPr>
          <w:rFonts w:ascii="Times New Roman" w:eastAsia="Times New Roman" w:hAnsi="Times New Roman" w:cs="Times New Roman"/>
          <w:sz w:val="24"/>
          <w:szCs w:val="24"/>
        </w:rPr>
        <w:t>rovedbeno tijelo</w:t>
      </w:r>
      <w:r w:rsidR="00F05E7F" w:rsidRPr="002C6F65">
        <w:rPr>
          <w:rFonts w:ascii="Times New Roman" w:eastAsia="Times New Roman" w:hAnsi="Times New Roman" w:cs="Times New Roman"/>
          <w:sz w:val="24"/>
          <w:szCs w:val="24"/>
        </w:rPr>
        <w:t>.</w:t>
      </w:r>
    </w:p>
    <w:p w14:paraId="53BC1533" w14:textId="376E908D"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provedbu </w:t>
      </w:r>
      <w:r w:rsidR="008D616A">
        <w:rPr>
          <w:rFonts w:ascii="Times New Roman" w:eastAsia="Calibri" w:hAnsi="Times New Roman" w:cs="Times New Roman"/>
          <w:sz w:val="24"/>
          <w:szCs w:val="24"/>
        </w:rPr>
        <w:t>Mehanizma za oporavak i otpornost</w:t>
      </w:r>
      <w:r w:rsidR="00D0103E" w:rsidRPr="00DC1AD5">
        <w:rPr>
          <w:rFonts w:ascii="Times New Roman" w:eastAsia="Calibri" w:hAnsi="Times New Roman" w:cs="Times New Roman"/>
          <w:sz w:val="24"/>
          <w:szCs w:val="24"/>
        </w:rPr>
        <w:t xml:space="preserve"> koje šteti, ili bi moglo naštetiti proračunu Unije</w:t>
      </w:r>
      <w:r w:rsidR="00D0103E" w:rsidRPr="00DC1AD5">
        <w:rPr>
          <w:rFonts w:ascii="Times New Roman" w:eastAsia="Calibri" w:hAnsi="Times New Roman" w:cs="Times New Roman"/>
          <w:sz w:val="24"/>
          <w:szCs w:val="24"/>
          <w:vertAlign w:val="superscript"/>
        </w:rPr>
        <w:footnoteReference w:id="2"/>
      </w:r>
      <w:r w:rsidR="00D0103E" w:rsidRPr="00DC1AD5">
        <w:rPr>
          <w:rFonts w:ascii="Times New Roman" w:eastAsia="Calibri" w:hAnsi="Times New Roman" w:cs="Times New Roman"/>
          <w:sz w:val="24"/>
          <w:szCs w:val="24"/>
        </w:rPr>
        <w:t>, tako da optereti proračun Unije neopravdanim izdatkom.</w:t>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3"/>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59C15D0C"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9F541C">
        <w:rPr>
          <w:rFonts w:ascii="Times New Roman" w:eastAsia="Times New Roman" w:hAnsi="Times New Roman" w:cs="Times New Roman"/>
          <w:sz w:val="24"/>
          <w:szCs w:val="24"/>
          <w:lang w:eastAsia="hr-HR"/>
        </w:rPr>
        <w:t xml:space="preserve">(2) Ostali pojmovi </w:t>
      </w:r>
      <w:r w:rsidR="00EA24A3" w:rsidRPr="009F541C">
        <w:rPr>
          <w:rFonts w:ascii="Times New Roman" w:eastAsia="Times New Roman" w:hAnsi="Times New Roman" w:cs="Times New Roman"/>
          <w:sz w:val="24"/>
          <w:szCs w:val="24"/>
          <w:lang w:eastAsia="hr-HR"/>
        </w:rPr>
        <w:t>u smislu ovog Pravila</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imaju</w:t>
      </w:r>
      <w:r w:rsidRPr="009F541C">
        <w:rPr>
          <w:rFonts w:ascii="Times New Roman" w:eastAsia="Times New Roman" w:hAnsi="Times New Roman" w:cs="Times New Roman"/>
          <w:sz w:val="24"/>
          <w:szCs w:val="24"/>
          <w:lang w:eastAsia="hr-HR"/>
        </w:rPr>
        <w:t xml:space="preserve"> značenja kako je </w:t>
      </w:r>
      <w:r w:rsidR="00222FE2" w:rsidRPr="009F541C">
        <w:rPr>
          <w:rFonts w:ascii="Times New Roman" w:eastAsia="Times New Roman" w:hAnsi="Times New Roman" w:cs="Times New Roman"/>
          <w:sz w:val="24"/>
          <w:szCs w:val="24"/>
          <w:lang w:eastAsia="hr-HR"/>
        </w:rPr>
        <w:t>opisano</w:t>
      </w:r>
      <w:r w:rsidR="009F541C">
        <w:rPr>
          <w:rFonts w:ascii="Times New Roman" w:eastAsia="Times New Roman" w:hAnsi="Times New Roman" w:cs="Times New Roman"/>
          <w:sz w:val="24"/>
          <w:szCs w:val="24"/>
          <w:lang w:eastAsia="hr-HR"/>
        </w:rPr>
        <w:t xml:space="preserve"> u</w:t>
      </w:r>
      <w:r w:rsidRPr="009F541C">
        <w:rPr>
          <w:rFonts w:ascii="Times New Roman" w:eastAsia="Times New Roman" w:hAnsi="Times New Roman" w:cs="Times New Roman"/>
          <w:sz w:val="24"/>
          <w:szCs w:val="24"/>
          <w:lang w:eastAsia="hr-HR"/>
        </w:rPr>
        <w:t xml:space="preserve"> </w:t>
      </w:r>
      <w:r w:rsidR="00F41C36" w:rsidRPr="009F541C">
        <w:rPr>
          <w:rFonts w:ascii="Times New Roman" w:eastAsia="Times New Roman" w:hAnsi="Times New Roman" w:cs="Times New Roman"/>
          <w:sz w:val="24"/>
          <w:szCs w:val="24"/>
          <w:lang w:eastAsia="hr-HR"/>
        </w:rPr>
        <w:t>Ugovoru</w:t>
      </w:r>
      <w:r w:rsidRPr="009F541C">
        <w:rPr>
          <w:rFonts w:ascii="Times New Roman" w:eastAsia="Times New Roman" w:hAnsi="Times New Roman" w:cs="Times New Roman"/>
          <w:sz w:val="24"/>
          <w:szCs w:val="24"/>
          <w:lang w:eastAsia="hr-HR"/>
        </w:rPr>
        <w:t xml:space="preserve"> o dodjeli </w:t>
      </w:r>
      <w:r w:rsidR="00222FE2" w:rsidRPr="009F541C">
        <w:rPr>
          <w:rFonts w:ascii="Times New Roman" w:eastAsia="Times New Roman" w:hAnsi="Times New Roman" w:cs="Times New Roman"/>
          <w:sz w:val="24"/>
          <w:szCs w:val="24"/>
          <w:lang w:eastAsia="hr-HR"/>
        </w:rPr>
        <w:t>bespovratnih</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sredst</w:t>
      </w:r>
      <w:r w:rsidR="00044FE0" w:rsidRPr="009F541C">
        <w:rPr>
          <w:rFonts w:ascii="Times New Roman" w:eastAsia="Times New Roman" w:hAnsi="Times New Roman" w:cs="Times New Roman"/>
          <w:sz w:val="24"/>
          <w:szCs w:val="24"/>
          <w:lang w:eastAsia="hr-HR"/>
        </w:rPr>
        <w:t>ava.</w:t>
      </w:r>
      <w:r w:rsidR="00044FE0">
        <w:rPr>
          <w:rFonts w:ascii="Times New Roman" w:eastAsia="Times New Roman" w:hAnsi="Times New Roman" w:cs="Times New Roman"/>
          <w:sz w:val="24"/>
          <w:szCs w:val="24"/>
          <w:lang w:eastAsia="hr-HR"/>
        </w:rPr>
        <w:t xml:space="preserve">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2D4C458E"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w:t>
      </w:r>
      <w:r w:rsidR="00BE5353">
        <w:rPr>
          <w:rFonts w:ascii="Times New Roman" w:eastAsia="Times New Roman" w:hAnsi="Times New Roman" w:cs="Times New Roman"/>
          <w:sz w:val="24"/>
          <w:szCs w:val="24"/>
          <w:lang w:eastAsia="hr-HR"/>
        </w:rPr>
        <w:t>Provedbenog tijela</w:t>
      </w:r>
      <w:r w:rsidR="00D0103E" w:rsidRPr="00DC1AD5">
        <w:rPr>
          <w:rFonts w:ascii="Times New Roman" w:eastAsia="Times New Roman" w:hAnsi="Times New Roman" w:cs="Times New Roman"/>
          <w:sz w:val="24"/>
          <w:szCs w:val="24"/>
          <w:lang w:eastAsia="hr-HR"/>
        </w:rPr>
        <w:t xml:space="preserve">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621533D9"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w:t>
      </w:r>
      <w:r w:rsidR="00D40619">
        <w:rPr>
          <w:rFonts w:ascii="Times New Roman" w:eastAsia="Times New Roman" w:hAnsi="Times New Roman" w:cs="Times New Roman"/>
          <w:sz w:val="24"/>
          <w:szCs w:val="24"/>
          <w:lang w:eastAsia="hr-HR"/>
        </w:rPr>
        <w:t>Tijela nadležnog za pojedi</w:t>
      </w:r>
      <w:r w:rsidR="008B0A37">
        <w:rPr>
          <w:rFonts w:ascii="Times New Roman" w:eastAsia="Times New Roman" w:hAnsi="Times New Roman" w:cs="Times New Roman"/>
          <w:sz w:val="24"/>
          <w:szCs w:val="24"/>
          <w:lang w:eastAsia="hr-HR"/>
        </w:rPr>
        <w:t>nu komponentu</w:t>
      </w:r>
      <w:r w:rsidR="00A82971">
        <w:rPr>
          <w:rFonts w:ascii="Times New Roman" w:eastAsia="Times New Roman" w:hAnsi="Times New Roman" w:cs="Times New Roman"/>
          <w:sz w:val="24"/>
          <w:szCs w:val="24"/>
          <w:lang w:eastAsia="hr-HR"/>
        </w:rPr>
        <w:t>/podkomponentu</w:t>
      </w:r>
      <w:r w:rsidR="00D40619">
        <w:rPr>
          <w:rFonts w:ascii="Times New Roman" w:eastAsia="Times New Roman" w:hAnsi="Times New Roman" w:cs="Times New Roman"/>
          <w:sz w:val="24"/>
          <w:szCs w:val="24"/>
          <w:lang w:eastAsia="hr-HR"/>
        </w:rPr>
        <w:t>.</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3A7D5395"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 xml:space="preserve">roku od 5 godina od </w:t>
      </w:r>
      <w:r w:rsidR="0039017D">
        <w:rPr>
          <w:rFonts w:ascii="Times New Roman" w:eastAsia="Times New Roman" w:hAnsi="Times New Roman" w:cs="Times New Roman"/>
          <w:sz w:val="24"/>
          <w:szCs w:val="24"/>
          <w:lang w:eastAsia="hr-HR"/>
        </w:rPr>
        <w:t>završetka NPOO-a</w:t>
      </w:r>
      <w:r w:rsidR="003E66B0">
        <w:rPr>
          <w:rFonts w:ascii="Times New Roman" w:eastAsia="Times New Roman" w:hAnsi="Times New Roman" w:cs="Times New Roman"/>
          <w:sz w:val="24"/>
          <w:szCs w:val="24"/>
          <w:lang w:eastAsia="hr-HR"/>
        </w:rPr>
        <w:t xml:space="preserve">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 xml:space="preserve">ravila i to na osnovi nalaza tijela koja obavljaju naknadne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4FC50C5"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w:t>
      </w:r>
      <w:r w:rsidR="0039017D">
        <w:rPr>
          <w:rFonts w:ascii="Times New Roman" w:eastAsia="Times New Roman" w:hAnsi="Times New Roman" w:cs="Times New Roman"/>
          <w:sz w:val="24"/>
          <w:szCs w:val="24"/>
          <w:lang w:eastAsia="hr-HR"/>
        </w:rPr>
        <w:t>praćenja provedbe aktivnosti NPOO-a</w:t>
      </w:r>
      <w:r w:rsidR="00D0103E" w:rsidRPr="00DC1AD5">
        <w:rPr>
          <w:rFonts w:ascii="Times New Roman" w:eastAsia="Times New Roman" w:hAnsi="Times New Roman" w:cs="Times New Roman"/>
          <w:sz w:val="24"/>
          <w:szCs w:val="24"/>
          <w:lang w:eastAsia="hr-HR"/>
        </w:rPr>
        <w:t xml:space="preserve">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BA91734" w14:textId="36554F50" w:rsidR="00A9738A" w:rsidRPr="005D3504" w:rsidRDefault="002D6680" w:rsidP="005D3504">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 xml:space="preserve">i i razloge navedene </w:t>
      </w:r>
      <w:r w:rsidR="00F05E7F" w:rsidRPr="002C6F65">
        <w:rPr>
          <w:rFonts w:ascii="Times New Roman" w:eastAsia="Times New Roman" w:hAnsi="Times New Roman" w:cs="Times New Roman"/>
          <w:sz w:val="24"/>
          <w:szCs w:val="24"/>
          <w:lang w:eastAsia="hr-HR"/>
        </w:rPr>
        <w:t>u članku 26</w:t>
      </w:r>
      <w:r w:rsidR="004D7AA7" w:rsidRPr="002C6F65">
        <w:rPr>
          <w:rFonts w:ascii="Times New Roman" w:eastAsia="Times New Roman" w:hAnsi="Times New Roman" w:cs="Times New Roman"/>
          <w:sz w:val="24"/>
          <w:szCs w:val="24"/>
          <w:lang w:eastAsia="hr-HR"/>
        </w:rPr>
        <w:t>. Općih uvjeta</w:t>
      </w:r>
      <w:r w:rsidR="004D7AA7" w:rsidRPr="00DC1AD5">
        <w:rPr>
          <w:rFonts w:ascii="Times New Roman" w:eastAsia="Times New Roman" w:hAnsi="Times New Roman" w:cs="Times New Roman"/>
          <w:sz w:val="24"/>
          <w:szCs w:val="24"/>
          <w:lang w:eastAsia="hr-HR"/>
        </w:rPr>
        <w:t xml:space="preserve">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265FEAB6"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2703EDD7"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14704776" w14:textId="76FB6FFB"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609E21AE"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 xml:space="preserve">odluka čelnika </w:t>
      </w:r>
      <w:r w:rsidR="006E46C6">
        <w:rPr>
          <w:rFonts w:ascii="Times New Roman" w:eastAsia="Times New Roman" w:hAnsi="Times New Roman" w:cs="Times New Roman"/>
          <w:sz w:val="24"/>
          <w:szCs w:val="24"/>
          <w:lang w:eastAsia="hr-HR"/>
        </w:rPr>
        <w:t>nadležnog tijela</w:t>
      </w:r>
      <w:r w:rsidRPr="00DC1AD5">
        <w:rPr>
          <w:rFonts w:ascii="Times New Roman" w:eastAsia="Times New Roman" w:hAnsi="Times New Roman" w:cs="Times New Roman"/>
          <w:sz w:val="24"/>
          <w:szCs w:val="24"/>
          <w:lang w:eastAsia="hr-HR"/>
        </w:rPr>
        <w:t>.</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136817">
      <w:pPr>
        <w:pStyle w:val="Footer"/>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2F37F0B4"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5D48962C" w14:textId="2A6CE91E"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67B8BE1" w:rsidR="00D0103E" w:rsidRDefault="00D0103E" w:rsidP="00D0103E">
      <w:pPr>
        <w:spacing w:before="0" w:after="0"/>
        <w:contextualSpacing/>
        <w:jc w:val="both"/>
        <w:rPr>
          <w:rFonts w:ascii="Times New Roman" w:eastAsia="Times New Roman" w:hAnsi="Times New Roman" w:cs="Times New Roman"/>
          <w:sz w:val="20"/>
          <w:szCs w:val="20"/>
          <w:lang w:eastAsia="hr-HR"/>
        </w:rPr>
      </w:pPr>
    </w:p>
    <w:p w14:paraId="0BCD8A8E"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67491C4F"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7AD001C6"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E10B88"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0C842AF7"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4570EEF1"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8B69A5"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3760AD78"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2EB95DC"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FCD47F" w14:textId="735574D8" w:rsidR="00A9738A" w:rsidRDefault="00A9738A" w:rsidP="00D0103E">
      <w:pPr>
        <w:spacing w:before="0" w:after="0"/>
        <w:contextualSpacing/>
        <w:jc w:val="both"/>
        <w:rPr>
          <w:rFonts w:ascii="Times New Roman" w:eastAsia="Times New Roman" w:hAnsi="Times New Roman" w:cs="Times New Roman"/>
          <w:sz w:val="20"/>
          <w:szCs w:val="20"/>
          <w:lang w:eastAsia="hr-HR"/>
        </w:rPr>
      </w:pPr>
    </w:p>
    <w:p w14:paraId="7AA4DAE1" w14:textId="77777777" w:rsidR="008A02CC" w:rsidRPr="00DC1AD5" w:rsidRDefault="008A02CC"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lastRenderedPageBreak/>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r w:rsidR="0047353E" w:rsidRPr="00DC1AD5">
        <w:rPr>
          <w:rFonts w:ascii="Times New Roman" w:eastAsia="Times New Roman" w:hAnsi="Times New Roman" w:cs="Times New Roman"/>
          <w:sz w:val="24"/>
          <w:szCs w:val="24"/>
          <w:lang w:eastAsia="hr-HR"/>
        </w:rPr>
        <w:t>neobveznici</w:t>
      </w:r>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r w:rsidR="004A62EB">
        <w:rPr>
          <w:rFonts w:ascii="Times New Roman" w:eastAsia="Times New Roman" w:hAnsi="Times New Roman" w:cs="Times New Roman"/>
          <w:sz w:val="24"/>
          <w:szCs w:val="24"/>
          <w:lang w:eastAsia="hr-HR"/>
        </w:rPr>
        <w:t xml:space="preserve">neobveznike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5CA22500"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tako da se prim</w:t>
      </w:r>
      <w:r w:rsidR="006E46C6">
        <w:rPr>
          <w:rFonts w:ascii="Times New Roman" w:eastAsia="Times New Roman" w:hAnsi="Times New Roman" w:cs="Times New Roman"/>
          <w:sz w:val="24"/>
          <w:szCs w:val="24"/>
          <w:lang w:eastAsia="hr-HR"/>
        </w:rPr>
        <w:t>i</w:t>
      </w:r>
      <w:r w:rsidR="003519FE" w:rsidRPr="00DC1AD5">
        <w:rPr>
          <w:rFonts w:ascii="Times New Roman" w:eastAsia="Times New Roman" w:hAnsi="Times New Roman" w:cs="Times New Roman"/>
          <w:sz w:val="24"/>
          <w:szCs w:val="24"/>
          <w:lang w:eastAsia="hr-HR"/>
        </w:rPr>
        <w:t xml:space="preserve">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0264F429"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2C6F65">
        <w:rPr>
          <w:rFonts w:ascii="Times New Roman" w:eastAsia="Times New Roman" w:hAnsi="Times New Roman" w:cs="Times New Roman"/>
          <w:sz w:val="24"/>
          <w:szCs w:val="24"/>
          <w:lang w:eastAsia="hr-HR"/>
        </w:rPr>
        <w:t>(7)</w:t>
      </w:r>
      <w:r w:rsidR="00BF783D" w:rsidRPr="002C6F65">
        <w:rPr>
          <w:rFonts w:ascii="Times New Roman" w:eastAsia="Times New Roman" w:hAnsi="Times New Roman" w:cs="Times New Roman"/>
          <w:sz w:val="24"/>
          <w:szCs w:val="24"/>
          <w:lang w:eastAsia="hr-HR"/>
        </w:rPr>
        <w:t xml:space="preserve"> A</w:t>
      </w:r>
      <w:r w:rsidRPr="002C6F65">
        <w:rPr>
          <w:rFonts w:ascii="Times New Roman" w:eastAsia="Times New Roman" w:hAnsi="Times New Roman" w:cs="Times New Roman"/>
          <w:sz w:val="24"/>
          <w:szCs w:val="24"/>
          <w:lang w:eastAsia="hr-HR"/>
        </w:rPr>
        <w:t xml:space="preserve">ko se u odnosu na jedan postupak </w:t>
      </w:r>
      <w:r w:rsidR="008905B5" w:rsidRPr="002C6F65">
        <w:rPr>
          <w:rFonts w:ascii="Times New Roman" w:eastAsia="Times New Roman" w:hAnsi="Times New Roman" w:cs="Times New Roman"/>
          <w:sz w:val="24"/>
          <w:szCs w:val="24"/>
          <w:lang w:eastAsia="hr-HR"/>
        </w:rPr>
        <w:t xml:space="preserve">(javne) </w:t>
      </w:r>
      <w:r w:rsidRPr="002C6F65">
        <w:rPr>
          <w:rFonts w:ascii="Times New Roman" w:eastAsia="Times New Roman" w:hAnsi="Times New Roman" w:cs="Times New Roman"/>
          <w:sz w:val="24"/>
          <w:szCs w:val="24"/>
          <w:lang w:eastAsia="hr-HR"/>
        </w:rPr>
        <w:t>nabave, odnosno ugovor o do</w:t>
      </w:r>
      <w:r w:rsidR="00665266" w:rsidRPr="002C6F65">
        <w:rPr>
          <w:rFonts w:ascii="Times New Roman" w:eastAsia="Times New Roman" w:hAnsi="Times New Roman" w:cs="Times New Roman"/>
          <w:sz w:val="24"/>
          <w:szCs w:val="24"/>
          <w:lang w:eastAsia="hr-HR"/>
        </w:rPr>
        <w:t>djel</w:t>
      </w:r>
      <w:r w:rsidRPr="002C6F6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2C6F65">
        <w:rPr>
          <w:rFonts w:ascii="Times New Roman" w:eastAsia="Times New Roman" w:hAnsi="Times New Roman" w:cs="Times New Roman"/>
          <w:sz w:val="24"/>
          <w:szCs w:val="24"/>
          <w:lang w:eastAsia="hr-HR"/>
        </w:rPr>
        <w:t>se u svrhu određivanja</w:t>
      </w:r>
      <w:r w:rsidRPr="002C6F65">
        <w:rPr>
          <w:rFonts w:ascii="Times New Roman" w:eastAsia="Times New Roman" w:hAnsi="Times New Roman" w:cs="Times New Roman"/>
          <w:sz w:val="24"/>
          <w:szCs w:val="24"/>
          <w:lang w:eastAsia="hr-HR"/>
        </w:rPr>
        <w:t xml:space="preserve"> visin</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(stop</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w:t>
      </w:r>
      <w:r w:rsidR="0005398A" w:rsidRPr="002C6F65">
        <w:rPr>
          <w:rFonts w:ascii="Times New Roman" w:eastAsia="Times New Roman" w:hAnsi="Times New Roman" w:cs="Times New Roman"/>
          <w:sz w:val="24"/>
          <w:szCs w:val="24"/>
          <w:lang w:eastAsia="hr-HR"/>
        </w:rPr>
        <w:t xml:space="preserve">financijske </w:t>
      </w:r>
      <w:r w:rsidRPr="002C6F6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15D9AFAD"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6E46C6">
        <w:rPr>
          <w:rFonts w:ascii="Times New Roman" w:eastAsia="Times New Roman" w:hAnsi="Times New Roman" w:cs="Times New Roman"/>
          <w:sz w:val="24"/>
          <w:szCs w:val="24"/>
          <w:lang w:eastAsia="hr-HR"/>
        </w:rPr>
        <w:t xml:space="preserve"> (primjeri</w:t>
      </w:r>
      <w:r w:rsidR="001613A3">
        <w:rPr>
          <w:rFonts w:ascii="Times New Roman" w:eastAsia="Times New Roman" w:hAnsi="Times New Roman" w:cs="Times New Roman"/>
          <w:sz w:val="24"/>
          <w:szCs w:val="24"/>
          <w:lang w:eastAsia="hr-HR"/>
        </w:rPr>
        <w:t>ce</w:t>
      </w:r>
      <w:r w:rsidR="006E46C6">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lastRenderedPageBreak/>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DF1AC2C" w:rsidR="00D0103E"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D0B339" w14:textId="1CE2C102"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značaj </w:t>
      </w:r>
      <w:r w:rsidRPr="006E46C6">
        <w:rPr>
          <w:rFonts w:ascii="Times New Roman" w:eastAsia="Times New Roman" w:hAnsi="Times New Roman" w:cs="Times New Roman"/>
          <w:sz w:val="24"/>
          <w:szCs w:val="24"/>
          <w:lang w:eastAsia="hr-HR"/>
        </w:rPr>
        <w:t xml:space="preserve">nepravilnošću zahvaćenog dijela ugovora o (javnoj) nabavi u odnosu na </w:t>
      </w:r>
      <w:r>
        <w:rPr>
          <w:rFonts w:ascii="Times New Roman" w:eastAsia="Times New Roman" w:hAnsi="Times New Roman" w:cs="Times New Roman"/>
          <w:sz w:val="24"/>
          <w:szCs w:val="24"/>
          <w:lang w:eastAsia="hr-HR"/>
        </w:rPr>
        <w:t xml:space="preserve">prirodu ugovora </w:t>
      </w:r>
    </w:p>
    <w:p w14:paraId="3B670919" w14:textId="28F502A1"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udio nepravilnošću zahvaćenog dijela ugovora o (javnoj) nabavi u odnosu na ukupnu vrijednost istog,</w:t>
      </w:r>
    </w:p>
    <w:p w14:paraId="5A72AE42" w14:textId="77777777" w:rsidR="006E46C6" w:rsidRPr="00DC1AD5" w:rsidRDefault="006E46C6" w:rsidP="0012418A">
      <w:pPr>
        <w:spacing w:before="0" w:after="0"/>
        <w:ind w:left="785"/>
        <w:contextualSpacing/>
        <w:jc w:val="both"/>
        <w:rPr>
          <w:rFonts w:ascii="Times New Roman" w:eastAsia="Times New Roman" w:hAnsi="Times New Roman" w:cs="Times New Roman"/>
          <w:sz w:val="24"/>
          <w:szCs w:val="24"/>
          <w:lang w:eastAsia="hr-HR"/>
        </w:rPr>
      </w:pPr>
    </w:p>
    <w:p w14:paraId="00B7C3AB" w14:textId="144309A6"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7D4FC6B2"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CBACC6"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w:t>
      </w:r>
      <w:r w:rsidRPr="00DC1AD5">
        <w:rPr>
          <w:rFonts w:ascii="Times New Roman" w:eastAsia="Times New Roman" w:hAnsi="Times New Roman" w:cs="Times New Roman"/>
          <w:sz w:val="24"/>
          <w:szCs w:val="24"/>
          <w:lang w:eastAsia="hr-HR"/>
        </w:rPr>
        <w:lastRenderedPageBreak/>
        <w:t>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66C72BF"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t>(6</w:t>
      </w:r>
      <w:r w:rsidR="00840A6D" w:rsidRPr="00DC1AD5">
        <w:rPr>
          <w:rFonts w:ascii="Times New Roman" w:eastAsia="Calibri" w:hAnsi="Times New Roman" w:cs="Times New Roman"/>
          <w:sz w:val="24"/>
          <w:szCs w:val="24"/>
        </w:rPr>
        <w:t xml:space="preserve">) PT-ovi i </w:t>
      </w:r>
      <w:r w:rsidR="00F77923">
        <w:rPr>
          <w:rFonts w:ascii="Times New Roman" w:eastAsia="Calibri" w:hAnsi="Times New Roman" w:cs="Times New Roman"/>
          <w:sz w:val="24"/>
          <w:szCs w:val="24"/>
        </w:rPr>
        <w:t>NT-ovi</w:t>
      </w:r>
      <w:r w:rsidR="0039017D" w:rsidRPr="00DC1AD5">
        <w:rPr>
          <w:rFonts w:ascii="Times New Roman" w:eastAsia="Calibri" w:hAnsi="Times New Roman" w:cs="Times New Roman"/>
          <w:sz w:val="24"/>
          <w:szCs w:val="24"/>
        </w:rPr>
        <w:t xml:space="preserve"> </w:t>
      </w:r>
      <w:r w:rsidR="00840A6D" w:rsidRPr="00DC1AD5">
        <w:rPr>
          <w:rFonts w:ascii="Times New Roman" w:eastAsia="Calibri" w:hAnsi="Times New Roman" w:cs="Times New Roman"/>
          <w:sz w:val="24"/>
          <w:szCs w:val="24"/>
        </w:rPr>
        <w:t xml:space="preserve">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096EE8AF" w:rsidR="003F26C6" w:rsidRDefault="003F26C6" w:rsidP="008905B5">
      <w:pPr>
        <w:spacing w:before="0" w:after="0"/>
        <w:contextualSpacing/>
        <w:rPr>
          <w:rFonts w:ascii="Times New Roman" w:eastAsia="Times New Roman" w:hAnsi="Times New Roman" w:cs="Times New Roman"/>
          <w:sz w:val="24"/>
          <w:szCs w:val="24"/>
          <w:lang w:eastAsia="hr-HR"/>
        </w:rPr>
      </w:pPr>
    </w:p>
    <w:p w14:paraId="7EE1369F" w14:textId="5B8208EA" w:rsidR="00183308" w:rsidRDefault="00183308" w:rsidP="008905B5">
      <w:pPr>
        <w:spacing w:before="0" w:after="0"/>
        <w:contextualSpacing/>
        <w:rPr>
          <w:rFonts w:ascii="Times New Roman" w:eastAsia="Times New Roman" w:hAnsi="Times New Roman" w:cs="Times New Roman"/>
          <w:sz w:val="24"/>
          <w:szCs w:val="24"/>
          <w:lang w:eastAsia="hr-HR"/>
        </w:rPr>
      </w:pPr>
    </w:p>
    <w:p w14:paraId="269CD073" w14:textId="77777777" w:rsidR="00183308" w:rsidRPr="00DC1AD5" w:rsidRDefault="00183308" w:rsidP="008905B5">
      <w:pPr>
        <w:spacing w:before="0" w:after="0"/>
        <w:contextualSpacing/>
        <w:rPr>
          <w:rFonts w:ascii="Times New Roman" w:eastAsia="Times New Roman" w:hAnsi="Times New Roman" w:cs="Times New Roman"/>
          <w:sz w:val="24"/>
          <w:szCs w:val="24"/>
          <w:lang w:eastAsia="hr-HR"/>
        </w:rPr>
      </w:pPr>
    </w:p>
    <w:p w14:paraId="66225607" w14:textId="6C6C835D" w:rsidR="00B30558" w:rsidRDefault="00B30558" w:rsidP="00B30558">
      <w:pPr>
        <w:spacing w:before="0" w:after="0"/>
        <w:contextualSpacing/>
        <w:jc w:val="both"/>
        <w:rPr>
          <w:rFonts w:ascii="Times New Roman" w:eastAsia="Times New Roman" w:hAnsi="Times New Roman" w:cs="Times New Roman"/>
          <w:sz w:val="24"/>
          <w:szCs w:val="24"/>
          <w:lang w:eastAsia="hr-HR"/>
        </w:rPr>
      </w:pP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FootnoteReference"/>
          <w:rFonts w:ascii="Times New Roman" w:eastAsia="Times New Roman" w:hAnsi="Times New Roman" w:cs="Times New Roman"/>
          <w:b/>
          <w:sz w:val="24"/>
          <w:szCs w:val="24"/>
          <w:lang w:eastAsia="hr-HR"/>
        </w:rPr>
        <w:footnoteReference w:id="4"/>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FC52CB" w:rsidRPr="00DC1AD5" w14:paraId="50126974" w14:textId="77777777" w:rsidTr="002C6F65">
        <w:trPr>
          <w:tblHeader/>
        </w:trPr>
        <w:tc>
          <w:tcPr>
            <w:tcW w:w="254" w:type="pct"/>
            <w:tcBorders>
              <w:top w:val="single" w:sz="4" w:space="0" w:color="auto"/>
              <w:left w:val="single" w:sz="4" w:space="0" w:color="auto"/>
              <w:bottom w:val="single" w:sz="4" w:space="0" w:color="auto"/>
              <w:right w:val="single" w:sz="4" w:space="0" w:color="auto"/>
            </w:tcBorders>
            <w:hideMark/>
          </w:tcPr>
          <w:p w14:paraId="2E919F15" w14:textId="31A7DF5D" w:rsidR="00FC52CB" w:rsidRPr="008F691C" w:rsidRDefault="00FC52CB"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Pr="008F691C">
              <w:rPr>
                <w:rFonts w:ascii="Times New Roman" w:eastAsia="Calibri" w:hAnsi="Times New Roman" w:cs="Times New Roman"/>
                <w:b/>
                <w:sz w:val="16"/>
                <w:szCs w:val="16"/>
              </w:rPr>
              <w:t>r.</w:t>
            </w:r>
          </w:p>
        </w:tc>
        <w:tc>
          <w:tcPr>
            <w:tcW w:w="997" w:type="pct"/>
            <w:tcBorders>
              <w:top w:val="single" w:sz="4" w:space="0" w:color="auto"/>
              <w:left w:val="single" w:sz="4" w:space="0" w:color="auto"/>
              <w:bottom w:val="single" w:sz="4" w:space="0" w:color="auto"/>
              <w:right w:val="single" w:sz="4" w:space="0" w:color="auto"/>
            </w:tcBorders>
            <w:hideMark/>
          </w:tcPr>
          <w:p w14:paraId="2390B2E3" w14:textId="77777777" w:rsidR="00FC52CB" w:rsidRPr="005B25F1" w:rsidRDefault="00FC52CB"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012B622B"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 (ne predstavljaju zatvoren broj, već služe isključivo kao najučestaliji primjeri i orijentiri za procjenu sličnih nepravilnosti)</w:t>
            </w:r>
          </w:p>
          <w:p w14:paraId="7861CBD5" w14:textId="77777777" w:rsidR="00FC52CB" w:rsidRPr="00DC1AD5" w:rsidRDefault="00FC52CB" w:rsidP="007F3C85">
            <w:pPr>
              <w:spacing w:before="0" w:after="0"/>
              <w:jc w:val="center"/>
              <w:rPr>
                <w:rFonts w:ascii="Times New Roman" w:eastAsia="Calibri" w:hAnsi="Times New Roman" w:cs="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AD59DC5"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FC52CB" w:rsidRPr="00DC1AD5" w14:paraId="4EEA8CC4" w14:textId="77777777" w:rsidTr="002C6F65">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6D646DA4" w14:textId="77777777" w:rsidR="00FC52CB" w:rsidRPr="008F691C" w:rsidRDefault="00FC52CB"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31FBA42B" w14:textId="73FD2E50" w:rsidR="00FC52CB" w:rsidRPr="00B45B9F" w:rsidRDefault="00FC52CB"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Sukob interesa koji utječe na ishod postupka javne nabave</w:t>
            </w:r>
          </w:p>
          <w:p w14:paraId="40CF1900" w14:textId="2DB3F43A" w:rsidR="00FC52CB" w:rsidRPr="00DC1AD5" w:rsidRDefault="00FC52CB"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(u bilo kojoj od faza javne nabave*)</w:t>
            </w:r>
            <w:r w:rsidRPr="00DC1AD5">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63FEE88B" w14:textId="42F238B7" w:rsidR="00FC52CB" w:rsidRPr="00DC1AD5" w:rsidRDefault="00FC52CB"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Pr="00BA5B20">
              <w:t xml:space="preserve"> </w:t>
            </w:r>
            <w:r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452C0AA4" w14:textId="1E68242E"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1439E4D2" w14:textId="77777777" w:rsidTr="002C6F65">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1727223B"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535901E8"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bilo kojoj od faza javne nabave)</w:t>
            </w:r>
          </w:p>
          <w:p w14:paraId="72E96080" w14:textId="77777777" w:rsidR="00FC52CB" w:rsidRPr="00DC1AD5" w:rsidRDefault="00FC52CB" w:rsidP="00D0103E">
            <w:pPr>
              <w:spacing w:before="0" w:after="0"/>
              <w:jc w:val="both"/>
              <w:rPr>
                <w:rFonts w:ascii="Times New Roman" w:eastAsia="Calibri" w:hAnsi="Times New Roman" w:cs="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E27FA9E" w14:textId="77777777" w:rsidR="00FC52CB" w:rsidRPr="00DC1AD5" w:rsidRDefault="00FC52CB"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p>
          <w:p w14:paraId="5EC683CC" w14:textId="77777777" w:rsidR="00FC52CB" w:rsidRPr="00DC1AD5" w:rsidRDefault="00FC52CB"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0BB0174" w14:textId="3C322C15"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FC52CB" w:rsidRPr="00DC1AD5" w:rsidRDefault="00FC52CB" w:rsidP="00D0103E">
            <w:pPr>
              <w:spacing w:before="0" w:after="0"/>
              <w:jc w:val="both"/>
              <w:rPr>
                <w:rFonts w:ascii="Times New Roman" w:eastAsia="Calibri" w:hAnsi="Times New Roman" w:cs="Times New Roman"/>
                <w:sz w:val="20"/>
                <w:szCs w:val="20"/>
              </w:rPr>
            </w:pPr>
          </w:p>
          <w:p w14:paraId="4EA3FEDB" w14:textId="77777777" w:rsidR="00FC52CB" w:rsidRPr="00DC1AD5" w:rsidRDefault="00FC52CB" w:rsidP="00D0103E">
            <w:pPr>
              <w:spacing w:before="0" w:after="0"/>
              <w:jc w:val="both"/>
              <w:rPr>
                <w:rFonts w:ascii="Times New Roman" w:eastAsia="Calibri" w:hAnsi="Times New Roman" w:cs="Times New Roman"/>
                <w:sz w:val="20"/>
                <w:szCs w:val="20"/>
              </w:rPr>
            </w:pPr>
          </w:p>
          <w:p w14:paraId="0474E9CC"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423AA111" w14:textId="77777777" w:rsidTr="002C6F65">
        <w:tc>
          <w:tcPr>
            <w:tcW w:w="5000" w:type="pct"/>
            <w:gridSpan w:val="4"/>
            <w:tcBorders>
              <w:top w:val="single" w:sz="4" w:space="0" w:color="auto"/>
              <w:left w:val="single" w:sz="4" w:space="0" w:color="auto"/>
              <w:bottom w:val="single" w:sz="4" w:space="0" w:color="auto"/>
              <w:right w:val="single" w:sz="4" w:space="0" w:color="auto"/>
            </w:tcBorders>
            <w:hideMark/>
          </w:tcPr>
          <w:p w14:paraId="140ECFEE" w14:textId="77777777" w:rsidR="00FC52CB" w:rsidRDefault="00FC52CB" w:rsidP="003B4892">
            <w:pPr>
              <w:spacing w:before="0" w:after="0"/>
              <w:jc w:val="center"/>
              <w:rPr>
                <w:rFonts w:ascii="Times New Roman" w:eastAsia="Calibri" w:hAnsi="Times New Roman" w:cs="Times New Roman"/>
                <w:b/>
                <w:sz w:val="24"/>
                <w:szCs w:val="24"/>
              </w:rPr>
            </w:pPr>
          </w:p>
          <w:p w14:paraId="27F2435B" w14:textId="77777777" w:rsidR="00FC52CB" w:rsidRDefault="00FC52CB"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FC52CB" w:rsidRPr="003B4892" w:rsidRDefault="00FC52CB" w:rsidP="003B4892">
            <w:pPr>
              <w:spacing w:before="0" w:after="0"/>
              <w:jc w:val="center"/>
              <w:rPr>
                <w:rFonts w:ascii="Times New Roman" w:eastAsia="Calibri" w:hAnsi="Times New Roman" w:cs="Times New Roman"/>
                <w:b/>
                <w:sz w:val="24"/>
                <w:szCs w:val="24"/>
              </w:rPr>
            </w:pPr>
          </w:p>
        </w:tc>
      </w:tr>
      <w:tr w:rsidR="00FC52CB" w:rsidRPr="00DC1AD5" w14:paraId="689ABE53" w14:textId="77777777" w:rsidTr="002C6F65">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94A51A1"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ili</w:t>
            </w:r>
          </w:p>
          <w:p w14:paraId="3463E7B9" w14:textId="77777777"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slučajevi koji ne opravdavaju izravnu dodjelu </w:t>
            </w:r>
            <w:r>
              <w:rPr>
                <w:rFonts w:ascii="Times New Roman" w:eastAsia="Calibri" w:hAnsi="Times New Roman" w:cs="Times New Roman"/>
                <w:sz w:val="20"/>
                <w:szCs w:val="20"/>
              </w:rPr>
              <w:t xml:space="preserve"> ili</w:t>
            </w:r>
            <w:r w:rsidRPr="005B25F1">
              <w:rPr>
                <w:rFonts w:ascii="Times New Roman" w:eastAsia="Calibri" w:hAnsi="Times New Roman" w:cs="Times New Roman"/>
                <w:sz w:val="20"/>
                <w:szCs w:val="20"/>
              </w:rPr>
              <w:t xml:space="preserve"> uporab</w:t>
            </w:r>
            <w:r>
              <w:rPr>
                <w:rFonts w:ascii="Times New Roman" w:eastAsia="Calibri" w:hAnsi="Times New Roman" w:cs="Times New Roman"/>
                <w:sz w:val="20"/>
                <w:szCs w:val="20"/>
              </w:rPr>
              <w:t>u</w:t>
            </w:r>
            <w:r w:rsidRPr="005B25F1">
              <w:rPr>
                <w:rFonts w:ascii="Times New Roman" w:eastAsia="Calibri" w:hAnsi="Times New Roman" w:cs="Times New Roman"/>
                <w:sz w:val="20"/>
                <w:szCs w:val="20"/>
              </w:rPr>
              <w:t xml:space="preserve">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3FAC4BAA" w14:textId="40ED787F"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Poziv na nadmetanje nije objavljen 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w:t>
            </w:r>
            <w:r w:rsidRPr="00DC1AD5">
              <w:rPr>
                <w:rFonts w:ascii="Times New Roman" w:eastAsia="Calibri" w:hAnsi="Times New Roman" w:cs="Times New Roman"/>
                <w:sz w:val="20"/>
                <w:szCs w:val="20"/>
              </w:rPr>
              <w:t xml:space="preserve"> )</w:t>
            </w:r>
          </w:p>
          <w:p w14:paraId="4EBFEC7D" w14:textId="77777777"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0" w:name="_Hlk12533075"/>
            <w:r w:rsidRPr="005B25F1">
              <w:rPr>
                <w:rFonts w:ascii="Times New Roman" w:eastAsia="Calibri" w:hAnsi="Times New Roman" w:cs="Times New Roman"/>
                <w:sz w:val="20"/>
                <w:szCs w:val="20"/>
              </w:rPr>
              <w:t>Također, nepravilnost postoji i u situacijama kada je ugovor dodijeljen putem izravne dodjele</w:t>
            </w:r>
            <w:r>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lastRenderedPageBreak/>
              <w:t xml:space="preserve">pregovaračkog postupka bez prethodne objave poziva na nadmetanje), pri čemu nisu zadovoljeni </w:t>
            </w:r>
            <w:r>
              <w:rPr>
                <w:rFonts w:ascii="Times New Roman" w:eastAsia="Calibri" w:hAnsi="Times New Roman" w:cs="Times New Roman"/>
                <w:sz w:val="20"/>
                <w:szCs w:val="20"/>
              </w:rPr>
              <w:t>kriteriji</w:t>
            </w:r>
            <w:r w:rsidRPr="00B45B9F">
              <w:rPr>
                <w:rFonts w:ascii="Times New Roman" w:eastAsia="Calibri" w:hAnsi="Times New Roman" w:cs="Times New Roman"/>
                <w:sz w:val="20"/>
                <w:szCs w:val="20"/>
              </w:rPr>
              <w:t xml:space="preserve"> za primjenu tog postupka</w:t>
            </w:r>
            <w:bookmarkEnd w:id="0"/>
            <w:r w:rsidRPr="00BA5B20">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1F5DB2A2" w14:textId="46EB1A05" w:rsidR="00FC52CB" w:rsidRPr="00DC1AD5" w:rsidRDefault="00FC52CB"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100% od ugovorenog iznosa </w:t>
            </w:r>
          </w:p>
        </w:tc>
      </w:tr>
      <w:tr w:rsidR="00FC52CB" w:rsidRPr="00DC1AD5" w14:paraId="4E86126C" w14:textId="77777777" w:rsidTr="002C6F65">
        <w:tc>
          <w:tcPr>
            <w:tcW w:w="254" w:type="pct"/>
            <w:vMerge/>
            <w:tcBorders>
              <w:top w:val="single" w:sz="4" w:space="0" w:color="auto"/>
              <w:left w:val="single" w:sz="4" w:space="0" w:color="auto"/>
              <w:bottom w:val="single" w:sz="4" w:space="0" w:color="auto"/>
              <w:right w:val="single" w:sz="4" w:space="0" w:color="auto"/>
            </w:tcBorders>
            <w:vAlign w:val="center"/>
            <w:hideMark/>
          </w:tcPr>
          <w:p w14:paraId="13846F50" w14:textId="3C5E85F0" w:rsidR="00FC52CB" w:rsidRPr="008F691C" w:rsidRDefault="00FC52CB" w:rsidP="00D0103E">
            <w:pPr>
              <w:spacing w:before="0" w:after="0"/>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AAF1EE3" w14:textId="77777777" w:rsidR="00FC52CB" w:rsidRPr="00DC1AD5" w:rsidRDefault="00FC52CB" w:rsidP="00D0103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40C79B" w14:textId="71347148" w:rsidR="00FC52CB" w:rsidRPr="00DC1AD5"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Prilikom objave Poziva na nadmetanje nije poštovana primjenjiva i propisana razina objave</w:t>
            </w:r>
            <w:r w:rsidRPr="00DC1AD5">
              <w:rPr>
                <w:rFonts w:ascii="Times New Roman" w:eastAsia="Calibri" w:hAnsi="Times New Roman" w:cs="Times New Roman"/>
                <w:sz w:val="20"/>
                <w:szCs w:val="20"/>
              </w:rPr>
              <w:t>, ali je zainteresirana strana (gospodarski subjekt) u drugoj državi članici imala pristup informacijama vezanima uz postupak javne nabave, te bila u mogućnosti iskazati interes za sudjelovanjem u postupku i dobivanju tog ugovora:</w:t>
            </w:r>
          </w:p>
          <w:p w14:paraId="4F363051" w14:textId="7AE35EE6" w:rsidR="00FC52CB" w:rsidRPr="00DC1AD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Poziv na nadmetanje je objavljen na nacionalnoj razini (sukladno nacionalnom zakonodavstvu),  </w:t>
            </w:r>
            <w:r>
              <w:rPr>
                <w:rFonts w:ascii="Times New Roman" w:eastAsia="Calibri" w:hAnsi="Times New Roman" w:cs="Times New Roman"/>
                <w:sz w:val="20"/>
                <w:szCs w:val="20"/>
              </w:rPr>
              <w:t>i/</w:t>
            </w:r>
            <w:r w:rsidRPr="00DC1AD5">
              <w:rPr>
                <w:rFonts w:ascii="Times New Roman" w:eastAsia="Calibri" w:hAnsi="Times New Roman" w:cs="Times New Roman"/>
                <w:sz w:val="20"/>
                <w:szCs w:val="20"/>
              </w:rPr>
              <w:t>ili</w:t>
            </w:r>
          </w:p>
          <w:p w14:paraId="6CE8774E" w14:textId="77777777" w:rsidR="00FC52CB" w:rsidRPr="00E43DB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b) osnovna pravila za objavljivanje poziva na nadmetanje su bila poštivana i to na način:</w:t>
            </w:r>
          </w:p>
          <w:p w14:paraId="2D35CA0C" w14:textId="30447A4B"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394F89E" w14:textId="32E876AF"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(internet, službena nacionalna glasila,</w:t>
            </w:r>
            <w:r>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 i</w:t>
            </w:r>
          </w:p>
          <w:p w14:paraId="29A3ED28" w14:textId="77777777" w:rsidR="00FC52CB" w:rsidRPr="007401AC"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oglašeni su bitni podatci o ugovoru koji je predmet javne nabave, vrsti javne nabave i poziv da se kontaktiraju nadležne osobe naručitelja.</w:t>
            </w:r>
            <w:r w:rsidRPr="00E43DB5">
              <w:rPr>
                <w:rFonts w:ascii="Times New Roman" w:hAnsi="Times New Roman" w:cs="Times New Roman"/>
                <w:vertAlign w:val="superscript"/>
              </w:rPr>
              <w:footnoteReference w:id="5"/>
            </w:r>
            <w:r w:rsidRPr="00E43DB5">
              <w:rPr>
                <w:rFonts w:ascii="Times New Roman" w:eastAsia="Calibri" w:hAnsi="Times New Roman" w:cs="Times New Roman"/>
                <w:i/>
                <w:strike/>
                <w:sz w:val="20"/>
                <w:szCs w:val="20"/>
              </w:rPr>
              <w:t xml:space="preserve"> </w:t>
            </w:r>
          </w:p>
          <w:p w14:paraId="0512791A" w14:textId="63BF230B" w:rsidR="00FC52CB" w:rsidRPr="007401AC" w:rsidRDefault="00FC52CB"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0BC9AA9" w14:textId="2B2930CC" w:rsidR="00FC52CB" w:rsidRPr="00DC1AD5" w:rsidRDefault="00FC52CB"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od ugovorenog iznosa </w:t>
            </w:r>
          </w:p>
        </w:tc>
      </w:tr>
      <w:tr w:rsidR="004A5126" w:rsidRPr="00DC1AD5" w14:paraId="5935642D" w14:textId="77777777" w:rsidTr="0096073E">
        <w:tc>
          <w:tcPr>
            <w:tcW w:w="254" w:type="pct"/>
            <w:vMerge w:val="restart"/>
            <w:tcBorders>
              <w:top w:val="single" w:sz="4" w:space="0" w:color="auto"/>
              <w:left w:val="single" w:sz="4" w:space="0" w:color="auto"/>
              <w:right w:val="single" w:sz="4" w:space="0" w:color="auto"/>
            </w:tcBorders>
            <w:vAlign w:val="center"/>
          </w:tcPr>
          <w:p w14:paraId="12FE862B" w14:textId="77777777" w:rsidR="004A5126" w:rsidRPr="008F691C" w:rsidRDefault="004A5126"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p>
          <w:p w14:paraId="496DCDED" w14:textId="77777777" w:rsidR="004A5126" w:rsidRPr="008F691C" w:rsidRDefault="004A5126" w:rsidP="006E359C">
            <w:pPr>
              <w:spacing w:before="0" w:after="0"/>
              <w:jc w:val="right"/>
              <w:rPr>
                <w:rFonts w:ascii="Times New Roman" w:eastAsia="Calibri" w:hAnsi="Times New Roman" w:cs="Times New Roman"/>
                <w:sz w:val="16"/>
                <w:szCs w:val="16"/>
              </w:rPr>
            </w:pPr>
          </w:p>
          <w:p w14:paraId="1481E0AE" w14:textId="77777777" w:rsidR="004A5126" w:rsidRPr="008F691C" w:rsidRDefault="004A5126" w:rsidP="00D0103E">
            <w:pPr>
              <w:spacing w:before="0" w:after="0"/>
              <w:jc w:val="both"/>
              <w:rPr>
                <w:rFonts w:ascii="Times New Roman" w:eastAsia="Calibri" w:hAnsi="Times New Roman" w:cs="Times New Roman"/>
                <w:sz w:val="16"/>
                <w:szCs w:val="16"/>
              </w:rPr>
            </w:pPr>
          </w:p>
          <w:p w14:paraId="5595360C" w14:textId="77777777" w:rsidR="004A5126" w:rsidRPr="008F691C" w:rsidRDefault="004A5126" w:rsidP="00D0103E">
            <w:pPr>
              <w:spacing w:before="0" w:after="0"/>
              <w:jc w:val="both"/>
              <w:rPr>
                <w:rFonts w:ascii="Times New Roman" w:eastAsia="Calibri" w:hAnsi="Times New Roman" w:cs="Times New Roman"/>
                <w:sz w:val="16"/>
                <w:szCs w:val="16"/>
              </w:rPr>
            </w:pPr>
          </w:p>
          <w:p w14:paraId="58474519" w14:textId="77777777" w:rsidR="004A5126" w:rsidRPr="008F691C" w:rsidRDefault="004A5126" w:rsidP="00D0103E">
            <w:pPr>
              <w:spacing w:before="0" w:after="0"/>
              <w:jc w:val="both"/>
              <w:rPr>
                <w:rFonts w:ascii="Times New Roman" w:eastAsia="Calibri" w:hAnsi="Times New Roman" w:cs="Times New Roman"/>
                <w:sz w:val="16"/>
                <w:szCs w:val="16"/>
              </w:rPr>
            </w:pPr>
          </w:p>
          <w:p w14:paraId="4132A8A6" w14:textId="77777777" w:rsidR="004A5126" w:rsidRPr="008F691C" w:rsidRDefault="004A5126" w:rsidP="00D0103E">
            <w:pPr>
              <w:spacing w:before="0" w:after="0"/>
              <w:jc w:val="both"/>
              <w:rPr>
                <w:rFonts w:ascii="Times New Roman" w:eastAsia="Calibri" w:hAnsi="Times New Roman" w:cs="Times New Roman"/>
                <w:sz w:val="16"/>
                <w:szCs w:val="16"/>
              </w:rPr>
            </w:pPr>
          </w:p>
          <w:p w14:paraId="4F7CB69B" w14:textId="77777777" w:rsidR="004A5126" w:rsidRPr="008F691C" w:rsidRDefault="004A5126" w:rsidP="00D0103E">
            <w:pPr>
              <w:spacing w:before="0" w:after="0"/>
              <w:jc w:val="both"/>
              <w:rPr>
                <w:rFonts w:ascii="Times New Roman" w:eastAsia="Calibri" w:hAnsi="Times New Roman" w:cs="Times New Roman"/>
                <w:sz w:val="16"/>
                <w:szCs w:val="16"/>
              </w:rPr>
            </w:pPr>
          </w:p>
          <w:p w14:paraId="7E762B07" w14:textId="03EACC7F" w:rsidR="004A5126" w:rsidRPr="008F691C" w:rsidRDefault="004A5126" w:rsidP="007A43EF">
            <w:pPr>
              <w:jc w:val="center"/>
              <w:rPr>
                <w:rFonts w:ascii="Times New Roman" w:eastAsia="Calibri" w:hAnsi="Times New Roman" w:cs="Times New Roman"/>
                <w:sz w:val="16"/>
                <w:szCs w:val="16"/>
              </w:rPr>
            </w:pPr>
          </w:p>
        </w:tc>
        <w:tc>
          <w:tcPr>
            <w:tcW w:w="997" w:type="pct"/>
            <w:vMerge w:val="restart"/>
            <w:tcBorders>
              <w:top w:val="single" w:sz="4" w:space="0" w:color="auto"/>
              <w:left w:val="single" w:sz="4" w:space="0" w:color="auto"/>
              <w:right w:val="single" w:sz="4" w:space="0" w:color="auto"/>
            </w:tcBorders>
          </w:tcPr>
          <w:p w14:paraId="165D99C4"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Umjetna podjela ugovora o javnoj nabavi</w:t>
            </w:r>
          </w:p>
          <w:p w14:paraId="1FE0AF2D"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4DFE55B4" w:rsidR="004A5126" w:rsidRPr="005B25F1" w:rsidRDefault="004A5126" w:rsidP="00023855">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w:t>
            </w:r>
            <w:r w:rsidRPr="005B25F1">
              <w:rPr>
                <w:rFonts w:ascii="Times New Roman" w:eastAsia="Calibri" w:hAnsi="Times New Roman" w:cs="Times New Roman"/>
                <w:sz w:val="20"/>
                <w:szCs w:val="20"/>
              </w:rPr>
              <w:lastRenderedPageBreak/>
              <w:t xml:space="preserve">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01E572DD" w14:textId="01408733" w:rsidR="004A5126" w:rsidRDefault="004A5126" w:rsidP="007C62B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Umjetna podjela javne nabave je rezultirala situacijom u kojoj poziv na nadmetanje nije objavljen </w:t>
            </w:r>
            <w:r w:rsidRPr="00DC1AD5">
              <w:rPr>
                <w:rFonts w:ascii="Times New Roman" w:eastAsia="Calibri" w:hAnsi="Times New Roman" w:cs="Times New Roman"/>
                <w:sz w:val="20"/>
                <w:szCs w:val="20"/>
              </w:rPr>
              <w:t xml:space="preserve">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 xml:space="preserve"> </w:t>
            </w:r>
          </w:p>
          <w:p w14:paraId="3DC856A7"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A81D7AF" w14:textId="0BEA28BB"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Pr="00DC1AD5">
              <w:rPr>
                <w:rStyle w:val="FootnoteReference"/>
                <w:rFonts w:ascii="Times New Roman" w:eastAsia="Calibri" w:hAnsi="Times New Roman" w:cs="Times New Roman"/>
                <w:sz w:val="20"/>
                <w:szCs w:val="20"/>
              </w:rPr>
              <w:footnoteReference w:id="6"/>
            </w:r>
          </w:p>
          <w:p w14:paraId="6996CCA2" w14:textId="6E80F656" w:rsidR="004A5126" w:rsidRPr="00DC1AD5" w:rsidRDefault="004A5126"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4A5126" w:rsidRPr="00DC1AD5" w14:paraId="2A222E91" w14:textId="77777777" w:rsidTr="002C6F65">
        <w:trPr>
          <w:trHeight w:val="4107"/>
        </w:trPr>
        <w:tc>
          <w:tcPr>
            <w:tcW w:w="254" w:type="pct"/>
            <w:vMerge/>
            <w:tcBorders>
              <w:left w:val="single" w:sz="4" w:space="0" w:color="auto"/>
              <w:bottom w:val="single" w:sz="4" w:space="0" w:color="auto"/>
              <w:right w:val="single" w:sz="4" w:space="0" w:color="auto"/>
            </w:tcBorders>
            <w:vAlign w:val="center"/>
            <w:hideMark/>
          </w:tcPr>
          <w:p w14:paraId="7050FFD1" w14:textId="3373F743" w:rsidR="004A5126" w:rsidRPr="008F691C" w:rsidRDefault="004A5126" w:rsidP="007A43EF">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6E72DD39" w14:textId="422EB5D7"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F16DBE"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480BBC6F" w14:textId="77777777"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na nadmetanje je objavljen na nacionalnoj razini (sukladno nacionalnom zakonodavstvu) </w:t>
            </w:r>
          </w:p>
          <w:p w14:paraId="6732A904" w14:textId="56EF0672"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poštivani su temeljni standardi kod objave poziva na nadmetanje (</w:t>
            </w:r>
            <w:r w:rsidRPr="00DC1AD5">
              <w:rPr>
                <w:rFonts w:ascii="Times New Roman" w:eastAsia="Calibri" w:hAnsi="Times New Roman" w:cs="Times New Roman"/>
                <w:sz w:val="20"/>
                <w:szCs w:val="20"/>
              </w:rPr>
              <w:t>npr. objavljen je na internetu ili oglasnoj ploči i takva objava pružala je dovoljno informacija zainteresiranim gospodarskim subjektima</w:t>
            </w:r>
            <w:r w:rsidRPr="005B25F1">
              <w:rPr>
                <w:rFonts w:ascii="Times New Roman" w:eastAsia="Calibri" w:hAnsi="Times New Roman" w:cs="Times New Roman"/>
                <w:sz w:val="20"/>
                <w:szCs w:val="20"/>
              </w:rPr>
              <w:t>).</w:t>
            </w:r>
          </w:p>
          <w:p w14:paraId="0548C0D3" w14:textId="650A272B"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134062" w14:textId="77777777" w:rsidR="004A5126" w:rsidRPr="00DC1AD5" w:rsidRDefault="004A5126"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(agregirano) od ugovorenog iznosa </w:t>
            </w:r>
          </w:p>
          <w:p w14:paraId="2E99D308" w14:textId="214CE95C" w:rsidR="004A5126" w:rsidRPr="00DC1AD5" w:rsidRDefault="004A5126" w:rsidP="00D0103E">
            <w:pPr>
              <w:spacing w:before="0" w:after="0"/>
              <w:jc w:val="both"/>
              <w:rPr>
                <w:rFonts w:ascii="Times New Roman" w:eastAsia="Calibri" w:hAnsi="Times New Roman" w:cs="Times New Roman"/>
                <w:sz w:val="20"/>
                <w:szCs w:val="20"/>
              </w:rPr>
            </w:pPr>
          </w:p>
          <w:p w14:paraId="5E41B52B" w14:textId="1EA121E6" w:rsidR="004A5126" w:rsidRPr="00DC1AD5" w:rsidRDefault="004A5126" w:rsidP="00D0103E">
            <w:pPr>
              <w:spacing w:before="0" w:after="0"/>
              <w:jc w:val="both"/>
              <w:rPr>
                <w:rFonts w:ascii="Times New Roman" w:eastAsia="Calibri" w:hAnsi="Times New Roman" w:cs="Times New Roman"/>
                <w:sz w:val="20"/>
                <w:szCs w:val="20"/>
              </w:rPr>
            </w:pPr>
          </w:p>
          <w:p w14:paraId="531A119A" w14:textId="20F8F876" w:rsidR="004A5126" w:rsidRPr="00DC1AD5" w:rsidRDefault="004A5126" w:rsidP="00E331DA">
            <w:pPr>
              <w:spacing w:before="0" w:after="0"/>
              <w:jc w:val="both"/>
              <w:rPr>
                <w:rFonts w:ascii="Times New Roman" w:eastAsia="Calibri" w:hAnsi="Times New Roman" w:cs="Times New Roman"/>
                <w:sz w:val="20"/>
                <w:szCs w:val="20"/>
              </w:rPr>
            </w:pPr>
          </w:p>
        </w:tc>
      </w:tr>
      <w:tr w:rsidR="00FC52CB" w:rsidRPr="005B25F1" w14:paraId="14708969" w14:textId="77777777" w:rsidTr="002C6F65">
        <w:trPr>
          <w:trHeight w:val="1554"/>
        </w:trPr>
        <w:tc>
          <w:tcPr>
            <w:tcW w:w="254" w:type="pct"/>
            <w:vMerge w:val="restart"/>
            <w:tcBorders>
              <w:top w:val="single" w:sz="4" w:space="0" w:color="auto"/>
              <w:left w:val="single" w:sz="4" w:space="0" w:color="auto"/>
              <w:right w:val="single" w:sz="4" w:space="0" w:color="auto"/>
            </w:tcBorders>
            <w:vAlign w:val="center"/>
            <w:hideMark/>
          </w:tcPr>
          <w:p w14:paraId="4DD335CB" w14:textId="0A609519" w:rsidR="00FC52CB" w:rsidRPr="008F691C" w:rsidRDefault="002B25D8" w:rsidP="007D52F1">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446AFA39" w14:textId="1545D49B" w:rsidR="00FC52CB"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korištenje </w:t>
            </w:r>
            <w:r>
              <w:rPr>
                <w:rFonts w:ascii="Times New Roman" w:eastAsia="Calibri" w:hAnsi="Times New Roman" w:cs="Times New Roman"/>
                <w:sz w:val="20"/>
                <w:szCs w:val="20"/>
              </w:rPr>
              <w:t>natjecateljskog postupka uz pregovore</w:t>
            </w:r>
            <w:r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ili natjecateljskog dijaloga</w:t>
            </w:r>
          </w:p>
          <w:p w14:paraId="3AC38B4E" w14:textId="0F239C01"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7AC41203" w14:textId="665ACFDB"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Ugovor je sklopljen korištenjem </w:t>
            </w:r>
            <w:r>
              <w:rPr>
                <w:rFonts w:ascii="Times New Roman" w:eastAsia="Calibri" w:hAnsi="Times New Roman" w:cs="Times New Roman"/>
                <w:sz w:val="20"/>
                <w:szCs w:val="20"/>
              </w:rPr>
              <w:t>navedenih postupaka</w:t>
            </w:r>
            <w:r w:rsidRPr="005B25F1">
              <w:rPr>
                <w:rFonts w:ascii="Times New Roman" w:eastAsia="Calibri" w:hAnsi="Times New Roman" w:cs="Times New Roman"/>
                <w:sz w:val="20"/>
                <w:szCs w:val="20"/>
              </w:rPr>
              <w:t xml:space="preserve">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4EF405C2" w14:textId="770AF16F" w:rsidR="00FC52CB" w:rsidRPr="005B25F1" w:rsidRDefault="00FC52CB"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FC52CB" w:rsidRPr="005B25F1" w:rsidRDefault="00FC52CB" w:rsidP="00D0103E">
            <w:pPr>
              <w:spacing w:before="0" w:after="0"/>
              <w:jc w:val="both"/>
              <w:rPr>
                <w:rFonts w:ascii="Times New Roman" w:eastAsia="Calibri" w:hAnsi="Times New Roman" w:cs="Times New Roman"/>
                <w:sz w:val="20"/>
                <w:szCs w:val="20"/>
              </w:rPr>
            </w:pPr>
          </w:p>
        </w:tc>
      </w:tr>
      <w:tr w:rsidR="00FC52CB" w:rsidRPr="005B25F1" w14:paraId="6AE0026C" w14:textId="77777777" w:rsidTr="002C6F65">
        <w:trPr>
          <w:trHeight w:val="485"/>
        </w:trPr>
        <w:tc>
          <w:tcPr>
            <w:tcW w:w="254" w:type="pct"/>
            <w:vMerge/>
            <w:tcBorders>
              <w:left w:val="single" w:sz="4" w:space="0" w:color="auto"/>
              <w:bottom w:val="single" w:sz="4" w:space="0" w:color="auto"/>
              <w:right w:val="single" w:sz="4" w:space="0" w:color="auto"/>
            </w:tcBorders>
            <w:vAlign w:val="center"/>
          </w:tcPr>
          <w:p w14:paraId="25E19037" w14:textId="77777777" w:rsidR="00FC52CB" w:rsidRPr="008F691C" w:rsidRDefault="00FC52CB" w:rsidP="007D52F1">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59665011" w14:textId="77777777" w:rsidR="00FC52CB" w:rsidRPr="005B25F1" w:rsidRDefault="00FC52CB" w:rsidP="00D0103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51A7DF5" w14:textId="1D41899A" w:rsidR="00FC52CB" w:rsidRPr="005B25F1" w:rsidRDefault="00FC52CB"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245EFB6B" w14:textId="7DC13EEE" w:rsidR="00FC52CB" w:rsidRPr="005B25F1" w:rsidRDefault="00FC52CB" w:rsidP="009B50D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7E7FB3">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w:t>
            </w:r>
            <w:r w:rsidRPr="005B25F1">
              <w:rPr>
                <w:rFonts w:ascii="Times New Roman" w:eastAsia="Calibri" w:hAnsi="Times New Roman" w:cs="Times New Roman"/>
                <w:sz w:val="20"/>
                <w:szCs w:val="20"/>
              </w:rPr>
              <w:t>10</w:t>
            </w:r>
            <w:r>
              <w:rPr>
                <w:rFonts w:ascii="Times New Roman" w:eastAsia="Calibri" w:hAnsi="Times New Roman" w:cs="Times New Roman"/>
                <w:sz w:val="20"/>
                <w:szCs w:val="20"/>
              </w:rPr>
              <w:t>% ili</w:t>
            </w:r>
            <w:r w:rsidRPr="005B25F1">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5B25F1">
              <w:rPr>
                <w:rFonts w:ascii="Times New Roman" w:eastAsia="Calibri" w:hAnsi="Times New Roman" w:cs="Times New Roman"/>
                <w:sz w:val="20"/>
                <w:szCs w:val="20"/>
              </w:rPr>
              <w:t xml:space="preserve"> % od ugovorenog iznosa</w:t>
            </w:r>
            <w:r>
              <w:rPr>
                <w:rFonts w:ascii="Times New Roman" w:eastAsia="Calibri" w:hAnsi="Times New Roman" w:cs="Times New Roman"/>
                <w:sz w:val="20"/>
                <w:szCs w:val="20"/>
              </w:rPr>
              <w:t>, ovisno o ozbiljnosti nepravilnosti</w:t>
            </w:r>
          </w:p>
        </w:tc>
      </w:tr>
      <w:tr w:rsidR="00FC52CB" w:rsidRPr="00DC1AD5" w14:paraId="316389C1" w14:textId="77777777" w:rsidTr="002C6F65">
        <w:trPr>
          <w:trHeight w:val="1052"/>
        </w:trPr>
        <w:tc>
          <w:tcPr>
            <w:tcW w:w="254" w:type="pct"/>
            <w:vMerge w:val="restart"/>
            <w:tcBorders>
              <w:top w:val="single" w:sz="4" w:space="0" w:color="auto"/>
              <w:left w:val="single" w:sz="4" w:space="0" w:color="auto"/>
              <w:right w:val="single" w:sz="4" w:space="0" w:color="auto"/>
            </w:tcBorders>
            <w:vAlign w:val="center"/>
            <w:hideMark/>
          </w:tcPr>
          <w:p w14:paraId="4B2B0E07" w14:textId="799837B4"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03477784" w14:textId="6178DA56"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p>
          <w:p w14:paraId="11CC85F0" w14:textId="745D106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(termin „rokovi“ se odnosi na otvorene postupke, ograničene postupke i natjecateljske postupke uz pregovore)</w:t>
            </w:r>
          </w:p>
          <w:p w14:paraId="18547AFE"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FC52CB" w:rsidRPr="00182B1F" w:rsidRDefault="00FC52CB"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-propuštanje produljenja rokova za dostavu ponuda </w:t>
            </w:r>
            <w:r w:rsidRPr="00182B1F">
              <w:rPr>
                <w:rFonts w:ascii="Times New Roman" w:eastAsia="Calibri" w:hAnsi="Times New Roman" w:cs="Times New Roman"/>
                <w:sz w:val="20"/>
                <w:szCs w:val="20"/>
              </w:rPr>
              <w:lastRenderedPageBreak/>
              <w:t>u slučaju značajne 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413918B6" w14:textId="5497BBBE"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675D46F" w14:textId="743191A3" w:rsidR="00FC52CB" w:rsidRPr="00182B1F" w:rsidRDefault="00FC52CB"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FC52CB" w:rsidRPr="00DC1AD5" w14:paraId="2245E7EA" w14:textId="77777777" w:rsidTr="002C6F65">
        <w:trPr>
          <w:trHeight w:val="1005"/>
        </w:trPr>
        <w:tc>
          <w:tcPr>
            <w:tcW w:w="254" w:type="pct"/>
            <w:vMerge/>
            <w:tcBorders>
              <w:left w:val="single" w:sz="4" w:space="0" w:color="auto"/>
              <w:right w:val="single" w:sz="4" w:space="0" w:color="auto"/>
            </w:tcBorders>
            <w:vAlign w:val="center"/>
            <w:hideMark/>
          </w:tcPr>
          <w:p w14:paraId="52A88C60" w14:textId="369B0E2B"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271E21DB"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512CF72" w14:textId="02DE6E0D" w:rsidR="00FC52CB" w:rsidRPr="00182B1F" w:rsidDel="005B3B29" w:rsidRDefault="00FC52CB" w:rsidP="005B3B29">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Ako je smanjenje rokova</w:t>
            </w:r>
            <w:r w:rsidRPr="005B25F1">
              <w:rPr>
                <w:rFonts w:ascii="Times New Roman" w:eastAsia="Calibri" w:hAnsi="Times New Roman" w:cs="Times New Roman"/>
                <w:color w:val="FF0000"/>
                <w:sz w:val="20"/>
                <w:szCs w:val="20"/>
              </w:rPr>
              <w:t xml:space="preserve"> </w:t>
            </w:r>
            <w:r w:rsidRPr="005B25F1">
              <w:rPr>
                <w:rFonts w:ascii="Times New Roman" w:eastAsia="Calibri" w:hAnsi="Times New Roman" w:cs="Times New Roman"/>
                <w:sz w:val="20"/>
                <w:szCs w:val="20"/>
              </w:rPr>
              <w:t xml:space="preserve">propisanih pravilima o javnoj nabavi ≥ 30%, ali ne prelazi 50% </w:t>
            </w:r>
          </w:p>
          <w:p w14:paraId="4A05A660" w14:textId="2CAD232F" w:rsidR="00FC52CB" w:rsidRPr="005B25F1"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CC8638" w14:textId="092B9D6A" w:rsidR="00FC52CB" w:rsidRPr="005B25F1" w:rsidRDefault="00FC52CB"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FC52CB" w:rsidRPr="00DC1AD5" w14:paraId="28DDDDD9" w14:textId="77777777" w:rsidTr="002C6F65">
        <w:trPr>
          <w:trHeight w:val="1800"/>
        </w:trPr>
        <w:tc>
          <w:tcPr>
            <w:tcW w:w="254" w:type="pct"/>
            <w:vMerge/>
            <w:tcBorders>
              <w:left w:val="single" w:sz="4" w:space="0" w:color="auto"/>
              <w:right w:val="single" w:sz="4" w:space="0" w:color="auto"/>
            </w:tcBorders>
            <w:vAlign w:val="center"/>
            <w:hideMark/>
          </w:tcPr>
          <w:p w14:paraId="6EDEC01D"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727D1D01"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49BA1AB8" w14:textId="0F7A921F" w:rsidR="00FC52CB" w:rsidRPr="00182B1F" w:rsidRDefault="00FC52CB" w:rsidP="005B3B29">
            <w:pPr>
              <w:autoSpaceDE w:val="0"/>
              <w:autoSpaceDN w:val="0"/>
              <w:adjustRightInd w:val="0"/>
              <w:spacing w:before="0" w:after="0"/>
              <w:jc w:val="both"/>
              <w:rPr>
                <w:rFonts w:ascii="Times New Roman" w:eastAsia="Calibri" w:hAnsi="Times New Roman" w:cs="Times New Roman"/>
                <w:strike/>
                <w:sz w:val="20"/>
                <w:szCs w:val="20"/>
              </w:rPr>
            </w:pPr>
            <w:r w:rsidRPr="00207184">
              <w:rPr>
                <w:rFonts w:ascii="Times New Roman" w:eastAsia="Calibri" w:hAnsi="Times New Roman" w:cs="Times New Roman"/>
                <w:sz w:val="20"/>
                <w:szCs w:val="20"/>
              </w:rPr>
              <w:t>Ako je smanjenje rokova propisanih pravilima o javnoj nabavi &lt; od 30%</w:t>
            </w:r>
            <w:r>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2FEB0FD5" w14:textId="0D8051A1" w:rsidR="00FC52CB" w:rsidRPr="00207184" w:rsidRDefault="00FC52CB" w:rsidP="003A3CBE">
            <w:pPr>
              <w:spacing w:before="0" w:after="0"/>
              <w:jc w:val="both"/>
              <w:rPr>
                <w:rFonts w:ascii="Times New Roman" w:hAnsi="Times New Roman" w:cs="Times New Roman"/>
                <w:sz w:val="20"/>
                <w:szCs w:val="20"/>
              </w:rPr>
            </w:pPr>
            <w:r>
              <w:rPr>
                <w:rFonts w:ascii="Times New Roman" w:hAnsi="Times New Roman" w:cs="Times New Roman"/>
                <w:sz w:val="20"/>
                <w:szCs w:val="20"/>
              </w:rPr>
              <w:t xml:space="preserve">Ispravak se može smanjiti na </w:t>
            </w:r>
            <w:r w:rsidRPr="00207184">
              <w:rPr>
                <w:rFonts w:ascii="Times New Roman" w:hAnsi="Times New Roman" w:cs="Times New Roman"/>
                <w:sz w:val="20"/>
                <w:szCs w:val="20"/>
              </w:rPr>
              <w:t xml:space="preserve">5% </w:t>
            </w:r>
            <w:r w:rsidRPr="00207184" w:rsidDel="009B50DE">
              <w:rPr>
                <w:rFonts w:ascii="Times New Roman" w:hAnsi="Times New Roman" w:cs="Times New Roman"/>
                <w:sz w:val="20"/>
                <w:szCs w:val="20"/>
              </w:rPr>
              <w:t>od ugovorenog iznosa</w:t>
            </w:r>
            <w:r>
              <w:rPr>
                <w:rFonts w:ascii="Times New Roman" w:hAnsi="Times New Roman" w:cs="Times New Roman"/>
                <w:sz w:val="20"/>
                <w:szCs w:val="20"/>
              </w:rPr>
              <w:t>, odnosno 2% u iznimnim i opravdanim slučajevima</w:t>
            </w:r>
          </w:p>
          <w:p w14:paraId="67CB3512" w14:textId="77777777" w:rsidR="00FC52CB" w:rsidRPr="00207184" w:rsidRDefault="00FC52CB" w:rsidP="003A3CBE">
            <w:pPr>
              <w:spacing w:before="0" w:after="0"/>
              <w:jc w:val="both"/>
              <w:rPr>
                <w:rFonts w:ascii="Times New Roman" w:hAnsi="Times New Roman" w:cs="Times New Roman"/>
                <w:sz w:val="20"/>
                <w:szCs w:val="20"/>
              </w:rPr>
            </w:pPr>
          </w:p>
          <w:p w14:paraId="79BFD372" w14:textId="77777777" w:rsidR="00FC52CB" w:rsidRPr="00207184" w:rsidRDefault="00FC52CB" w:rsidP="003A3CBE">
            <w:pPr>
              <w:spacing w:before="0" w:after="0"/>
              <w:jc w:val="both"/>
              <w:rPr>
                <w:rFonts w:ascii="Times New Roman" w:hAnsi="Times New Roman" w:cs="Times New Roman"/>
                <w:sz w:val="20"/>
                <w:szCs w:val="20"/>
              </w:rPr>
            </w:pPr>
          </w:p>
          <w:p w14:paraId="039FE9ED" w14:textId="6C445EC4" w:rsidR="00FC52CB" w:rsidRPr="00182B1F" w:rsidRDefault="00FC52CB" w:rsidP="003A3CBE">
            <w:pPr>
              <w:spacing w:before="0" w:after="0"/>
              <w:jc w:val="both"/>
              <w:rPr>
                <w:rFonts w:ascii="Times New Roman" w:eastAsia="Calibri" w:hAnsi="Times New Roman" w:cs="Times New Roman"/>
                <w:sz w:val="20"/>
                <w:szCs w:val="20"/>
              </w:rPr>
            </w:pPr>
          </w:p>
        </w:tc>
      </w:tr>
      <w:tr w:rsidR="00FC52CB" w:rsidRPr="00DC1AD5" w14:paraId="74959ECD" w14:textId="77777777" w:rsidTr="002C6F65">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294A2E0" w14:textId="15F46530"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B394B6E"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 pribavljanje dokumentacije o nabavi</w:t>
            </w:r>
          </w:p>
          <w:p w14:paraId="600FB5EB"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Ako je elektronički pristup natječajnoj dokumentaciji bio moguć, ali su rokovi za pristup skraćeni, primjenjuju se stope financijskih korekcija od 25%, 10% ili 5% u skladu s opisima nepravilnostima iz ove točke</w:t>
            </w:r>
          </w:p>
          <w:p w14:paraId="7FF21024"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0082EA3" w14:textId="47B656BE" w:rsidR="00FC52CB" w:rsidRDefault="00FC52CB" w:rsidP="003A3CBE">
            <w:pPr>
              <w:spacing w:before="0" w:after="160" w:line="259" w:lineRule="auto"/>
              <w:jc w:val="both"/>
              <w:rPr>
                <w:rFonts w:ascii="Times New Roman" w:hAnsi="Times New Roman" w:cs="Times New Roman"/>
                <w:sz w:val="20"/>
                <w:szCs w:val="20"/>
              </w:rPr>
            </w:pPr>
            <w:r w:rsidRPr="004E7AB3">
              <w:rPr>
                <w:rFonts w:ascii="Times New Roman" w:hAnsi="Times New Roman" w:cs="Times New Roman"/>
                <w:sz w:val="20"/>
                <w:szCs w:val="20"/>
              </w:rPr>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4E7AB3">
              <w:rPr>
                <w:rFonts w:ascii="Times New Roman" w:hAnsi="Times New Roman" w:cs="Times New Roman"/>
                <w:sz w:val="20"/>
                <w:szCs w:val="20"/>
              </w:rPr>
              <w:tab/>
            </w:r>
          </w:p>
          <w:p w14:paraId="43BB2F1E" w14:textId="42432BC2" w:rsidR="00FC52CB" w:rsidRPr="000D43A7" w:rsidRDefault="00FC52CB" w:rsidP="00182B1F">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F0B6E5B" w14:textId="48BDC5D6" w:rsidR="00FC52CB" w:rsidRPr="00577C65"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701E1F">
              <w:rPr>
                <w:rFonts w:ascii="Times New Roman" w:eastAsia="Calibri" w:hAnsi="Times New Roman" w:cs="Times New Roman"/>
                <w:sz w:val="20"/>
                <w:szCs w:val="20"/>
              </w:rPr>
              <w:t xml:space="preserve">% od ugovorenog iznosa </w:t>
            </w:r>
          </w:p>
        </w:tc>
      </w:tr>
      <w:tr w:rsidR="00FC52CB" w:rsidRPr="00DC1AD5" w14:paraId="01CB15A6" w14:textId="77777777" w:rsidTr="002C6F65">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AFA2785" w14:textId="4B758230"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9CAD555"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5D9B6952" w14:textId="6B091172" w:rsidR="00FC52CB" w:rsidRDefault="00FC52CB" w:rsidP="003A3CBE">
            <w:pPr>
              <w:autoSpaceDE w:val="0"/>
              <w:autoSpaceDN w:val="0"/>
              <w:adjustRightInd w:val="0"/>
              <w:spacing w:before="0" w:after="0"/>
              <w:jc w:val="both"/>
              <w:rPr>
                <w:rFonts w:ascii="Times New Roman" w:hAnsi="Times New Roman" w:cs="Times New Roman"/>
                <w:sz w:val="20"/>
                <w:szCs w:val="20"/>
              </w:rPr>
            </w:pPr>
            <w:r w:rsidRPr="000067CA">
              <w:rPr>
                <w:rFonts w:ascii="Times New Roman" w:hAnsi="Times New Roman" w:cs="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02AE2ADC" w14:textId="77777777" w:rsidR="00FC52CB" w:rsidRDefault="00FC52CB" w:rsidP="003A3CBE">
            <w:pPr>
              <w:autoSpaceDE w:val="0"/>
              <w:autoSpaceDN w:val="0"/>
              <w:adjustRightInd w:val="0"/>
              <w:spacing w:before="0" w:after="0"/>
              <w:jc w:val="both"/>
              <w:rPr>
                <w:rFonts w:ascii="Times New Roman" w:hAnsi="Times New Roman" w:cs="Times New Roman"/>
                <w:sz w:val="20"/>
                <w:szCs w:val="20"/>
              </w:rPr>
            </w:pPr>
          </w:p>
          <w:p w14:paraId="6D115ECB" w14:textId="77777777" w:rsidR="00FC52CB" w:rsidRPr="00207184" w:rsidRDefault="00FC52CB" w:rsidP="005762C0">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E6E8AAE" w14:textId="6B1EE3E3" w:rsidR="00FC52CB" w:rsidRPr="00701E1F" w:rsidRDefault="00FC52CB" w:rsidP="005762C0">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701E1F">
              <w:rPr>
                <w:rFonts w:ascii="Times New Roman" w:eastAsia="Calibri" w:hAnsi="Times New Roman" w:cs="Times New Roman"/>
                <w:sz w:val="20"/>
                <w:szCs w:val="20"/>
              </w:rPr>
              <w:t xml:space="preserve">% od ugovorenog iznosa </w:t>
            </w:r>
          </w:p>
        </w:tc>
      </w:tr>
      <w:tr w:rsidR="00FC52CB" w:rsidRPr="00DC1AD5" w14:paraId="46494C5B" w14:textId="77777777" w:rsidTr="002C6F65">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70A2C03"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475D77"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5065415" w14:textId="3B4E2502" w:rsidR="00FC52CB" w:rsidRPr="00207184"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hAnsi="Times New Roman" w:cs="Times New Roman"/>
                <w:sz w:val="20"/>
                <w:szCs w:val="20"/>
              </w:rPr>
              <w:t xml:space="preserve">Rok koji potencijalni ponuditelji/natjecatelji imaju za dobivanje dokumentacije za nadmetanje je skraćen </w:t>
            </w:r>
            <w:r w:rsidRPr="000067CA">
              <w:rPr>
                <w:rFonts w:ascii="Times New Roman" w:hAnsi="Times New Roman" w:cs="Times New Roman"/>
                <w:sz w:val="20"/>
                <w:szCs w:val="20"/>
              </w:rPr>
              <w:t xml:space="preserve">≤ </w:t>
            </w:r>
            <w:r>
              <w:rPr>
                <w:rFonts w:ascii="Times New Roman" w:hAnsi="Times New Roman" w:cs="Times New Roman"/>
                <w:sz w:val="20"/>
                <w:szCs w:val="20"/>
              </w:rPr>
              <w:t>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416A9AD6" w14:textId="015934F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82B1F">
              <w:rPr>
                <w:rFonts w:ascii="Times New Roman" w:eastAsia="Calibri" w:hAnsi="Times New Roman" w:cs="Times New Roman"/>
                <w:sz w:val="20"/>
                <w:szCs w:val="20"/>
              </w:rPr>
              <w:t>% od ugovorenog iznosa</w:t>
            </w:r>
          </w:p>
          <w:p w14:paraId="31C2EB25"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ED46C3D" w14:textId="02F576B4" w:rsidR="00FC52CB" w:rsidRPr="00701E1F" w:rsidRDefault="00FC52CB"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FC52CB" w:rsidRPr="00DC1AD5" w14:paraId="263A0ACE" w14:textId="77777777" w:rsidTr="002C6F65">
        <w:trPr>
          <w:trHeight w:val="4030"/>
        </w:trPr>
        <w:tc>
          <w:tcPr>
            <w:tcW w:w="254" w:type="pct"/>
            <w:vMerge w:val="restart"/>
            <w:tcBorders>
              <w:top w:val="single" w:sz="4" w:space="0" w:color="auto"/>
              <w:left w:val="single" w:sz="4" w:space="0" w:color="auto"/>
              <w:right w:val="single" w:sz="4" w:space="0" w:color="auto"/>
            </w:tcBorders>
            <w:vAlign w:val="center"/>
            <w:hideMark/>
          </w:tcPr>
          <w:p w14:paraId="050323FE" w14:textId="1DD780AE" w:rsidR="00FC52CB" w:rsidRPr="008F691C" w:rsidRDefault="002B25D8"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14E296C" w14:textId="573617AF"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za zaprimanje ponuda/zahtjeva za sudjelovanje </w:t>
            </w:r>
          </w:p>
          <w:p w14:paraId="35CBEF1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FC52CB" w:rsidRPr="00701E1F" w:rsidRDefault="00FC52CB"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04BC321B"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Produljenje rokova ni na koji način nije javno objavljeno niti je bilo dostupno gospodarskim subjektima na neki drugi način (vidi nepravilnost pod br. 3)</w:t>
            </w:r>
          </w:p>
          <w:p w14:paraId="42DAE863"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                                                                                                                                                                                                                 ili </w:t>
            </w:r>
          </w:p>
          <w:p w14:paraId="6311E8BE"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411AA581"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1077FC31" w14:textId="364C0F98" w:rsidR="00FC52CB"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(u slučaju ubrzanog postupka  najkasnije tijekom četvrtog dana prije roka određenog za dostavu zahtjeva za sudjelovanje i ponuda).</w:t>
            </w:r>
          </w:p>
          <w:p w14:paraId="637AF8B8" w14:textId="77777777" w:rsidR="00FC52CB" w:rsidRDefault="00FC52CB" w:rsidP="00F02EF4">
            <w:pPr>
              <w:autoSpaceDE w:val="0"/>
              <w:autoSpaceDN w:val="0"/>
              <w:adjustRightInd w:val="0"/>
              <w:spacing w:before="0" w:after="0"/>
              <w:jc w:val="both"/>
              <w:rPr>
                <w:rFonts w:ascii="Times New Roman" w:eastAsia="Calibri" w:hAnsi="Times New Roman" w:cs="Times New Roman"/>
                <w:sz w:val="20"/>
                <w:szCs w:val="20"/>
              </w:rPr>
            </w:pPr>
          </w:p>
          <w:p w14:paraId="6B9CAF15" w14:textId="5D616BF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5F5EAB5" w14:textId="53EBE8F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w:t>
            </w:r>
            <w:r w:rsidRPr="00182B1F">
              <w:rPr>
                <w:rFonts w:ascii="Times New Roman" w:eastAsia="Calibri" w:hAnsi="Times New Roman" w:cs="Times New Roman"/>
                <w:sz w:val="20"/>
                <w:szCs w:val="20"/>
              </w:rPr>
              <w:t xml:space="preserve"> od ugovorenog iznosa</w:t>
            </w:r>
            <w:r>
              <w:rPr>
                <w:rFonts w:ascii="Times New Roman" w:eastAsia="Calibri" w:hAnsi="Times New Roman" w:cs="Times New Roman"/>
                <w:sz w:val="20"/>
                <w:szCs w:val="20"/>
              </w:rPr>
              <w:t>, ovisno o ozbiljnosti nepravilnosti</w:t>
            </w:r>
          </w:p>
        </w:tc>
      </w:tr>
      <w:tr w:rsidR="00FC52CB" w:rsidRPr="00DC1AD5" w14:paraId="37D801F7" w14:textId="77777777" w:rsidTr="002C6F65">
        <w:trPr>
          <w:trHeight w:val="2412"/>
        </w:trPr>
        <w:tc>
          <w:tcPr>
            <w:tcW w:w="254" w:type="pct"/>
            <w:vMerge/>
            <w:tcBorders>
              <w:top w:val="single" w:sz="4" w:space="0" w:color="auto"/>
              <w:left w:val="single" w:sz="4" w:space="0" w:color="auto"/>
              <w:right w:val="single" w:sz="4" w:space="0" w:color="auto"/>
            </w:tcBorders>
            <w:vAlign w:val="center"/>
          </w:tcPr>
          <w:p w14:paraId="2636B628" w14:textId="77777777" w:rsidR="00FC52CB" w:rsidRPr="008F691C" w:rsidRDefault="00FC52CB" w:rsidP="003A3CBE">
            <w:pPr>
              <w:spacing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1BF6EFDB"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0827EBB"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1944A57A"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6B5C576F" w14:textId="77777777" w:rsidR="00FC52CB" w:rsidRPr="000067CA"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09323FA" w14:textId="45EC07B0" w:rsidR="00FC52CB" w:rsidRPr="00182B1F" w:rsidDel="00577C65"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5% od ugovorenog iznosa, odnosno 2% u iznimnim i opravdanim slučajevima</w:t>
            </w:r>
          </w:p>
        </w:tc>
      </w:tr>
      <w:tr w:rsidR="0096073E" w:rsidRPr="00DC1AD5" w14:paraId="0DC5CCD3" w14:textId="77777777" w:rsidTr="0096073E">
        <w:trPr>
          <w:trHeight w:val="4370"/>
        </w:trPr>
        <w:tc>
          <w:tcPr>
            <w:tcW w:w="254" w:type="pct"/>
            <w:tcBorders>
              <w:top w:val="single" w:sz="4" w:space="0" w:color="auto"/>
              <w:left w:val="single" w:sz="4" w:space="0" w:color="auto"/>
              <w:right w:val="single" w:sz="4" w:space="0" w:color="auto"/>
            </w:tcBorders>
            <w:vAlign w:val="center"/>
          </w:tcPr>
          <w:p w14:paraId="09B44806" w14:textId="0AEFCC20" w:rsidR="0096073E" w:rsidRPr="008F691C" w:rsidRDefault="0096073E"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643BCADF" w14:textId="051CE6C6" w:rsidR="0096073E" w:rsidRPr="00182B1F" w:rsidRDefault="0096073E"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1DDC7A97" w14:textId="5ACA8167" w:rsidR="0096073E" w:rsidRPr="00182B1F" w:rsidRDefault="0096073E" w:rsidP="003B2454">
            <w:pPr>
              <w:spacing w:before="0" w:after="160" w:line="259" w:lineRule="auto"/>
              <w:jc w:val="both"/>
              <w:rPr>
                <w:rFonts w:ascii="Times New Roman" w:hAnsi="Times New Roman" w:cs="Times New Roman"/>
                <w:sz w:val="20"/>
                <w:szCs w:val="20"/>
              </w:rPr>
            </w:pPr>
          </w:p>
          <w:p w14:paraId="64E2ABCB" w14:textId="7A737ED0" w:rsidR="0096073E" w:rsidRPr="00182B1F" w:rsidRDefault="0096073E" w:rsidP="00E331DA">
            <w:pPr>
              <w:spacing w:before="0" w:after="160" w:line="259" w:lineRule="auto"/>
              <w:jc w:val="both"/>
              <w:rPr>
                <w:rFonts w:ascii="Times New Roman" w:hAnsi="Times New Roman" w:cs="Times New Roman"/>
                <w:sz w:val="20"/>
                <w:szCs w:val="20"/>
              </w:rPr>
            </w:pPr>
          </w:p>
        </w:tc>
        <w:tc>
          <w:tcPr>
            <w:tcW w:w="1247" w:type="pct"/>
            <w:tcBorders>
              <w:top w:val="single" w:sz="4" w:space="0" w:color="auto"/>
              <w:left w:val="single" w:sz="4" w:space="0" w:color="auto"/>
              <w:right w:val="single" w:sz="4" w:space="0" w:color="auto"/>
            </w:tcBorders>
          </w:tcPr>
          <w:p w14:paraId="1238709F" w14:textId="78F74B20" w:rsidR="0096073E" w:rsidRPr="00182B1F" w:rsidRDefault="0096073E" w:rsidP="00E331DA">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182B1F">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kada je nesukladnost s procedurama dovela do sklapanja ugovora sa ponuditeljem koji ne bi bio odabran</w:t>
            </w:r>
          </w:p>
          <w:p w14:paraId="4F999D97"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533F98AC" w14:textId="3228F849"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svakom drugom slučaju financijski ispravak se može smanjiti na 10% ili 5%, ovisno o ozbiljnosti nepravilnosti</w:t>
            </w:r>
          </w:p>
          <w:p w14:paraId="49D0F120"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FBF2F0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147B96DB"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4570056"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78B4C698"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6E5825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3B2454" w14:paraId="325A615E" w14:textId="77777777" w:rsidTr="002C6F65">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1BBD4DA4" w14:textId="049BAB14" w:rsidR="00FC52CB" w:rsidRPr="008F691C" w:rsidRDefault="00FC52CB"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33DCBF13" w14:textId="62FEC96C" w:rsidR="00FC52CB" w:rsidRDefault="00FC52CB" w:rsidP="00B46984">
            <w:pPr>
              <w:spacing w:before="0" w:after="160" w:line="259" w:lineRule="auto"/>
              <w:jc w:val="both"/>
              <w:rPr>
                <w:rFonts w:ascii="Times New Roman" w:hAnsi="Times New Roman" w:cs="Times New Roman"/>
                <w:sz w:val="20"/>
                <w:szCs w:val="20"/>
              </w:rPr>
            </w:pPr>
            <w:r>
              <w:rPr>
                <w:rFonts w:ascii="Times New Roman" w:hAnsi="Times New Roman" w:cs="Times New Roman"/>
                <w:sz w:val="20"/>
                <w:szCs w:val="20"/>
              </w:rPr>
              <w:t>Izostanak objave odnosno nenavođenje</w:t>
            </w:r>
            <w:r w:rsidR="0096073E">
              <w:rPr>
                <w:rFonts w:ascii="Times New Roman" w:hAnsi="Times New Roman" w:cs="Times New Roman"/>
                <w:sz w:val="20"/>
                <w:szCs w:val="20"/>
              </w:rPr>
              <w:t xml:space="preserve"> </w:t>
            </w:r>
            <w:r>
              <w:rPr>
                <w:rFonts w:ascii="Times New Roman" w:hAnsi="Times New Roman" w:cs="Times New Roman"/>
                <w:sz w:val="20"/>
                <w:szCs w:val="20"/>
              </w:rPr>
              <w:t>razloga za isključenje</w:t>
            </w:r>
          </w:p>
          <w:p w14:paraId="0012C2D1" w14:textId="77777777" w:rsidR="00FC52CB" w:rsidRDefault="00FC52CB" w:rsidP="00B46984">
            <w:pPr>
              <w:spacing w:before="0" w:after="160" w:line="259" w:lineRule="auto"/>
              <w:jc w:val="both"/>
              <w:rPr>
                <w:rFonts w:ascii="Times New Roman" w:hAnsi="Times New Roman" w:cs="Times New Roman"/>
                <w:sz w:val="20"/>
                <w:szCs w:val="20"/>
              </w:rPr>
            </w:pPr>
          </w:p>
          <w:p w14:paraId="5DE69EB1" w14:textId="4AE55353"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o nabavi kada se ona objavljuje istodobno s pozivom na nadmetanje:                                                 -nisu navedeni  kriteriji  za odabir ponude i njihovi ponderi, ili uvjeti za izvršenje ugovora </w:t>
            </w:r>
            <w:r w:rsidRPr="00182B1F">
              <w:rPr>
                <w:rFonts w:ascii="Times New Roman" w:hAnsi="Times New Roman" w:cs="Times New Roman"/>
                <w:sz w:val="20"/>
                <w:szCs w:val="20"/>
              </w:rPr>
              <w:lastRenderedPageBreak/>
              <w:t xml:space="preserve">ili tehničke specifikacije  </w:t>
            </w:r>
          </w:p>
          <w:p w14:paraId="7362C40A" w14:textId="4DD05138"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ponderiranje nisu dovoljno detaljno opisani</w:t>
            </w:r>
            <w:r>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FC52CB" w:rsidRPr="00182B1F" w:rsidRDefault="00FC52CB" w:rsidP="00B46984">
            <w:pPr>
              <w:spacing w:before="0" w:after="160" w:line="259" w:lineRule="auto"/>
              <w:jc w:val="both"/>
              <w:rPr>
                <w:rFonts w:ascii="Times New Roman" w:hAnsi="Times New Roman" w:cs="Times New Roman"/>
                <w:sz w:val="20"/>
                <w:szCs w:val="20"/>
              </w:rPr>
            </w:pPr>
          </w:p>
          <w:p w14:paraId="58348EE1" w14:textId="0E18A74B"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6E7139E7" w14:textId="253E0929" w:rsidR="00FC52CB" w:rsidRDefault="00FC52CB" w:rsidP="002A1CDA">
            <w:pPr>
              <w:autoSpaceDE w:val="0"/>
              <w:autoSpaceDN w:val="0"/>
              <w:adjustRightInd w:val="0"/>
              <w:spacing w:before="0" w:after="0"/>
              <w:jc w:val="both"/>
              <w:rPr>
                <w:rFonts w:ascii="Times New Roman" w:hAnsi="Times New Roman" w:cs="Times New Roman"/>
                <w:sz w:val="20"/>
                <w:szCs w:val="20"/>
              </w:rPr>
            </w:pPr>
            <w:r w:rsidRPr="007F3DCF">
              <w:rPr>
                <w:rFonts w:ascii="Times New Roman" w:hAnsi="Times New Roman" w:cs="Times New Roman"/>
                <w:sz w:val="20"/>
                <w:szCs w:val="20"/>
              </w:rPr>
              <w:lastRenderedPageBreak/>
              <w:t>U pozivu na nadmetanje ili u dokumentaciji o nabavi kada se ona objavljuje istodobno s pozivom na nadmetanje nisu navedeni kriteriji  za odabir ponude i njihovi ponderi</w:t>
            </w:r>
            <w:r>
              <w:rPr>
                <w:rStyle w:val="FootnoteReference"/>
                <w:rFonts w:ascii="Times New Roman" w:hAnsi="Times New Roman" w:cs="Times New Roman"/>
                <w:sz w:val="20"/>
                <w:szCs w:val="20"/>
              </w:rPr>
              <w:footnoteReference w:id="7"/>
            </w:r>
            <w:r>
              <w:rPr>
                <w:rFonts w:ascii="Times New Roman" w:hAnsi="Times New Roman" w:cs="Times New Roman"/>
                <w:sz w:val="20"/>
                <w:szCs w:val="20"/>
              </w:rPr>
              <w:t xml:space="preserve"> ili u dokumentaciji o nabavi nisu navedeni razlozi za isključenje.</w:t>
            </w:r>
          </w:p>
          <w:p w14:paraId="4356746D" w14:textId="77777777" w:rsidR="00FC52CB" w:rsidRDefault="00FC52CB" w:rsidP="002A1CDA">
            <w:pPr>
              <w:autoSpaceDE w:val="0"/>
              <w:autoSpaceDN w:val="0"/>
              <w:adjustRightInd w:val="0"/>
              <w:spacing w:before="0" w:after="0"/>
              <w:jc w:val="both"/>
              <w:rPr>
                <w:rFonts w:ascii="Times New Roman" w:hAnsi="Times New Roman" w:cs="Times New Roman"/>
                <w:sz w:val="20"/>
                <w:szCs w:val="20"/>
              </w:rPr>
            </w:pPr>
          </w:p>
          <w:p w14:paraId="1BE82104" w14:textId="59349E80" w:rsidR="00FC52CB" w:rsidRPr="00182B1F" w:rsidRDefault="00FC52CB" w:rsidP="00225E1A">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0FD5D75" w14:textId="52B17AC7" w:rsidR="00FC52CB" w:rsidRPr="00182B1F" w:rsidRDefault="007E7FB3" w:rsidP="003A3CBE">
            <w:pPr>
              <w:autoSpaceDE w:val="0"/>
              <w:autoSpaceDN w:val="0"/>
              <w:adjustRightInd w:val="0"/>
              <w:spacing w:before="0" w:after="0"/>
              <w:jc w:val="both"/>
              <w:rPr>
                <w:rFonts w:ascii="Times New Roman" w:hAnsi="Times New Roman" w:cs="Times New Roman"/>
                <w:sz w:val="20"/>
                <w:szCs w:val="20"/>
              </w:rPr>
            </w:pPr>
            <w:r>
              <w:rPr>
                <w:rFonts w:ascii="Times New Roman" w:hAnsi="Times New Roman" w:cs="Times New Roman"/>
                <w:sz w:val="20"/>
                <w:szCs w:val="20"/>
              </w:rPr>
              <w:t>25</w:t>
            </w:r>
            <w:r w:rsidR="00FC52CB" w:rsidRPr="00182B1F">
              <w:rPr>
                <w:rFonts w:ascii="Times New Roman" w:hAnsi="Times New Roman" w:cs="Times New Roman"/>
                <w:sz w:val="20"/>
                <w:szCs w:val="20"/>
              </w:rPr>
              <w:t>% od ugovorenog iznosa</w:t>
            </w:r>
          </w:p>
          <w:p w14:paraId="72F72E6A"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0A7043C"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1A2179C7" w14:textId="77777777" w:rsidTr="002C6F65">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0561862"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1F23B26" w14:textId="77777777" w:rsidR="00FC52CB" w:rsidRPr="00701E1F"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7CDB268" w14:textId="2F5ECBE9"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U pozivu na nadmetanje ili u dokumentaciji o nabavi kada se ona objavljuje istodobno s pozivom na nadmetanje </w:t>
            </w:r>
            <w:r w:rsidR="0096073E" w:rsidRPr="00925C40">
              <w:rPr>
                <w:rFonts w:ascii="Times New Roman" w:hAnsi="Times New Roman" w:cs="Times New Roman"/>
                <w:sz w:val="20"/>
                <w:szCs w:val="20"/>
              </w:rPr>
              <w:t xml:space="preserve">nisu </w:t>
            </w:r>
            <w:r w:rsidRPr="00925C40">
              <w:rPr>
                <w:rFonts w:ascii="Times New Roman" w:hAnsi="Times New Roman" w:cs="Times New Roman"/>
                <w:sz w:val="20"/>
                <w:szCs w:val="20"/>
              </w:rPr>
              <w:t xml:space="preserve">                                                                                    </w:t>
            </w:r>
          </w:p>
          <w:p w14:paraId="2942477A"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a) navedeni uvjeti za izvršenje ugovora ili tehničke specifikacije </w:t>
            </w:r>
          </w:p>
          <w:p w14:paraId="6EBCEB5C"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b) nisu dovoljno opisani uvjeti za odabir ponude te njihovo ponderiranje ili uvjeti za odabir gospodarskog subjekta, što je dovelo do neopravdanog ograničavanja tržišnog natjecanja (kada je ovaj nedostatak mogao dovesti do odvraćanja potencijalnih ponuditelja ) </w:t>
            </w:r>
          </w:p>
          <w:p w14:paraId="609E12AB"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c) objašnjenja i dodatne informacije (/kriterije za odabir ponude) od strane javnog naručitelja nisu objavljene ili nisu dostupne svim ponuditeljima.</w:t>
            </w:r>
          </w:p>
          <w:p w14:paraId="14D3E897" w14:textId="22498FD2" w:rsidR="00FC52CB" w:rsidRPr="00182B1F" w:rsidRDefault="00FC52CB" w:rsidP="003C2128">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3AA5D8" w14:textId="09BF69F6" w:rsidR="00FC52CB" w:rsidRPr="00182B1F" w:rsidRDefault="007E7FB3"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FC52CB" w:rsidRPr="00182B1F">
              <w:rPr>
                <w:rFonts w:ascii="Times New Roman" w:eastAsia="Calibri" w:hAnsi="Times New Roman" w:cs="Times New Roman"/>
                <w:sz w:val="20"/>
                <w:szCs w:val="20"/>
              </w:rPr>
              <w:t xml:space="preserve">% </w:t>
            </w:r>
            <w:r>
              <w:rPr>
                <w:rFonts w:ascii="Times New Roman" w:eastAsia="Calibri" w:hAnsi="Times New Roman" w:cs="Times New Roman"/>
                <w:sz w:val="20"/>
                <w:szCs w:val="20"/>
              </w:rPr>
              <w:t>ili 5% od ugovorenog iznosa, ovisno o ozbiljnosti nepravilnosti</w:t>
            </w:r>
          </w:p>
          <w:p w14:paraId="45F94448" w14:textId="77777777" w:rsidR="00FC52CB" w:rsidRPr="00182B1F" w:rsidRDefault="00FC52CB" w:rsidP="003A3CBE">
            <w:pPr>
              <w:spacing w:before="0" w:after="0"/>
              <w:jc w:val="both"/>
              <w:rPr>
                <w:rFonts w:ascii="Times New Roman" w:eastAsia="Calibri" w:hAnsi="Times New Roman" w:cs="Times New Roman"/>
                <w:sz w:val="20"/>
                <w:szCs w:val="20"/>
              </w:rPr>
            </w:pPr>
          </w:p>
          <w:p w14:paraId="208E9CC8" w14:textId="4417D8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725D30AA" w14:textId="77777777" w:rsidTr="002C6F65">
        <w:tc>
          <w:tcPr>
            <w:tcW w:w="254" w:type="pct"/>
            <w:tcBorders>
              <w:top w:val="single" w:sz="4" w:space="0" w:color="auto"/>
              <w:left w:val="single" w:sz="4" w:space="0" w:color="auto"/>
              <w:bottom w:val="single" w:sz="4" w:space="0" w:color="auto"/>
              <w:right w:val="single" w:sz="4" w:space="0" w:color="auto"/>
            </w:tcBorders>
            <w:vAlign w:val="center"/>
            <w:hideMark/>
          </w:tcPr>
          <w:p w14:paraId="114987F6" w14:textId="0518CE77" w:rsidR="00FC52CB" w:rsidRPr="008F691C" w:rsidRDefault="00FC52CB"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1</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hideMark/>
          </w:tcPr>
          <w:p w14:paraId="4CF1927A" w14:textId="180DBECC" w:rsidR="00FC52CB" w:rsidRPr="00182B1F" w:rsidRDefault="00FC52CB"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Nedovoljan ili neprecizan opis predmeta nabave</w:t>
            </w:r>
            <w:r w:rsidRPr="008F691C">
              <w:rPr>
                <w:rStyle w:val="FootnoteReference"/>
                <w:rFonts w:ascii="Times New Roman" w:eastAsia="Calibri" w:hAnsi="Times New Roman" w:cs="Times New Roman"/>
                <w:sz w:val="20"/>
                <w:szCs w:val="20"/>
              </w:rPr>
              <w:footnoteReference w:id="8"/>
            </w:r>
            <w:r w:rsidRPr="00182B1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7ABC084" w14:textId="34D94488"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Opis predmeta nabave u pozivu na nadmetanje /dokumentaciji o nabavi</w:t>
            </w:r>
            <w:r>
              <w:rPr>
                <w:rFonts w:ascii="Times New Roman" w:eastAsia="Calibri" w:hAnsi="Times New Roman" w:cs="Times New Roman"/>
                <w:sz w:val="20"/>
                <w:szCs w:val="20"/>
              </w:rPr>
              <w:t xml:space="preserve"> </w:t>
            </w:r>
            <w:r w:rsidRPr="007F3DCF">
              <w:rPr>
                <w:rFonts w:ascii="Times New Roman" w:eastAsia="Calibri" w:hAnsi="Times New Roman" w:cs="Times New Roman"/>
                <w:sz w:val="20"/>
                <w:szCs w:val="20"/>
              </w:rPr>
              <w:t xml:space="preserve">(tehničke specifikacije) je nedovoljan da bi potencijalni ponuditelji mogli bez dvojbi odrediti predmet nabave, a za posljedicu ima odvraćajući učinak i ograničenje tržišnog natjecanja.  </w:t>
            </w:r>
          </w:p>
          <w:p w14:paraId="63053DC0" w14:textId="77777777"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p>
          <w:p w14:paraId="0B8CE966" w14:textId="5B1ED89F" w:rsidR="00FC52CB"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56E192B4" w14:textId="72FDAE5C" w:rsidR="00FC52CB" w:rsidRDefault="00FC52CB" w:rsidP="005C7ECF">
            <w:pPr>
              <w:autoSpaceDE w:val="0"/>
              <w:autoSpaceDN w:val="0"/>
              <w:adjustRightInd w:val="0"/>
              <w:spacing w:before="0" w:after="0"/>
              <w:jc w:val="both"/>
              <w:rPr>
                <w:rFonts w:ascii="Times New Roman" w:eastAsia="Calibri" w:hAnsi="Times New Roman" w:cs="Times New Roman"/>
                <w:sz w:val="20"/>
                <w:szCs w:val="20"/>
              </w:rPr>
            </w:pPr>
          </w:p>
          <w:p w14:paraId="6A8D2F4E" w14:textId="3AD94939" w:rsidR="00FC52CB" w:rsidRPr="00182B1F" w:rsidRDefault="00FC52CB" w:rsidP="000902D1">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1BF48EC" w14:textId="06978F8D" w:rsidR="00FC52CB" w:rsidRPr="00182B1F"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 od ugovorenog iznosa, ovisno o ozbiljnosti nepravilnosti</w:t>
            </w:r>
          </w:p>
        </w:tc>
      </w:tr>
      <w:tr w:rsidR="0096073E" w:rsidRPr="00DC1AD5" w14:paraId="5308FC09" w14:textId="77777777" w:rsidTr="0096073E">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7C20ED07" w14:textId="7F6AC9CB" w:rsidR="0096073E" w:rsidRPr="008F691C" w:rsidRDefault="0096073E"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2</w:t>
            </w:r>
            <w:r w:rsidRPr="00433D7E">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285F4266" w14:textId="77777777" w:rsidR="0096073E" w:rsidRPr="005C7ECF" w:rsidRDefault="0096073E" w:rsidP="005C7ECF">
            <w:pPr>
              <w:spacing w:before="0" w:after="0"/>
              <w:jc w:val="center"/>
              <w:rPr>
                <w:rFonts w:ascii="Times New Roman" w:eastAsia="Calibri" w:hAnsi="Times New Roman" w:cs="Times New Roman"/>
                <w:sz w:val="20"/>
                <w:szCs w:val="20"/>
              </w:rPr>
            </w:pPr>
          </w:p>
          <w:p w14:paraId="16322EBD" w14:textId="2D210355" w:rsidR="0096073E" w:rsidRPr="000234ED" w:rsidRDefault="0096073E">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Upotreba </w:t>
            </w:r>
            <w:r>
              <w:rPr>
                <w:rFonts w:ascii="Times New Roman" w:eastAsia="Calibri" w:hAnsi="Times New Roman" w:cs="Times New Roman"/>
                <w:sz w:val="20"/>
                <w:szCs w:val="20"/>
              </w:rPr>
              <w:t xml:space="preserve">kriterija za odabir gospodarskog subjekta, </w:t>
            </w:r>
            <w:r w:rsidRPr="005C7ECF">
              <w:rPr>
                <w:rFonts w:ascii="Times New Roman" w:eastAsia="Calibri" w:hAnsi="Times New Roman" w:cs="Times New Roman"/>
                <w:sz w:val="20"/>
                <w:szCs w:val="20"/>
              </w:rPr>
              <w:t>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588C9269" w14:textId="5E503B81" w:rsidR="0096073E" w:rsidRPr="005C7ECF" w:rsidRDefault="0096073E" w:rsidP="000D43A7">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                                                                                      </w:t>
            </w:r>
          </w:p>
          <w:p w14:paraId="5A99335C" w14:textId="4EFDD759"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Kriteriji za odabir gospodarskog subjekta (uvjeti sposobnosti)</w:t>
            </w:r>
            <w:r>
              <w:rPr>
                <w:rFonts w:ascii="Times New Roman" w:eastAsia="Calibri" w:hAnsi="Times New Roman" w:cs="Times New Roman"/>
                <w:sz w:val="20"/>
                <w:szCs w:val="20"/>
              </w:rPr>
              <w:t xml:space="preserve"> i/ili kriteriji za odabir ponude</w:t>
            </w:r>
            <w:r w:rsidRPr="005C7ECF">
              <w:rPr>
                <w:rFonts w:ascii="Times New Roman" w:eastAsia="Calibri" w:hAnsi="Times New Roman" w:cs="Times New Roman"/>
                <w:sz w:val="20"/>
                <w:szCs w:val="20"/>
              </w:rPr>
              <w:t xml:space="preserve">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A7BFBE9" w14:textId="3477CF2F"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C7ECF">
              <w:rPr>
                <w:rFonts w:ascii="Times New Roman" w:eastAsia="Calibri" w:hAnsi="Times New Roman" w:cs="Times New Roman"/>
                <w:sz w:val="20"/>
                <w:szCs w:val="20"/>
              </w:rPr>
              <w:t>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podugovaratelja,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1621453D" w14:textId="77777777"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20E47094" w14:textId="633F06A5" w:rsidR="0096073E" w:rsidRPr="000902D1" w:rsidRDefault="0096073E" w:rsidP="000902D1">
            <w:pPr>
              <w:autoSpaceDE w:val="0"/>
              <w:autoSpaceDN w:val="0"/>
              <w:adjustRightInd w:val="0"/>
              <w:spacing w:before="0" w:after="0"/>
              <w:jc w:val="both"/>
              <w:rPr>
                <w:rFonts w:ascii="Times New Roman" w:eastAsia="Calibri" w:hAnsi="Times New Roman" w:cs="Times New Roman"/>
                <w:sz w:val="20"/>
                <w:szCs w:val="20"/>
              </w:rPr>
            </w:pPr>
            <w:r>
              <w:t xml:space="preserve">- </w:t>
            </w:r>
            <w:r w:rsidRPr="000902D1">
              <w:rPr>
                <w:rFonts w:ascii="Times New Roman" w:eastAsia="Calibri" w:hAnsi="Times New Roman" w:cs="Times New Roman"/>
                <w:sz w:val="20"/>
                <w:szCs w:val="20"/>
              </w:rPr>
              <w:t>kada se u trenutku podnošenja ponude  zaht</w:t>
            </w:r>
            <w:r>
              <w:rPr>
                <w:rFonts w:ascii="Times New Roman" w:eastAsia="Calibri" w:hAnsi="Times New Roman" w:cs="Times New Roman"/>
                <w:sz w:val="20"/>
                <w:szCs w:val="20"/>
              </w:rPr>
              <w:t>i</w:t>
            </w:r>
            <w:r w:rsidRPr="000902D1">
              <w:rPr>
                <w:rFonts w:ascii="Times New Roman" w:eastAsia="Calibri" w:hAnsi="Times New Roman" w:cs="Times New Roman"/>
                <w:sz w:val="20"/>
                <w:szCs w:val="20"/>
              </w:rPr>
              <w:t>jeva:</w:t>
            </w:r>
          </w:p>
          <w:p w14:paraId="6584A21D" w14:textId="334C3025" w:rsidR="0096073E" w:rsidRDefault="0096073E" w:rsidP="000902D1">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 xml:space="preserve">a) poslovni nastan ili predstavnik u državi ili regiji;                                                                           b) iskustvo i/ili kvalifikacije </w:t>
            </w:r>
            <w:r>
              <w:rPr>
                <w:rFonts w:ascii="Times New Roman" w:eastAsia="Calibri" w:hAnsi="Times New Roman" w:cs="Times New Roman"/>
                <w:sz w:val="20"/>
                <w:szCs w:val="20"/>
              </w:rPr>
              <w:t>ponuditelja u državi ili regiji</w:t>
            </w:r>
            <w:r w:rsidRPr="000902D1">
              <w:rPr>
                <w:rFonts w:ascii="Times New Roman" w:eastAsia="Calibri" w:hAnsi="Times New Roman" w:cs="Times New Roman"/>
                <w:sz w:val="20"/>
                <w:szCs w:val="20"/>
              </w:rPr>
              <w:t xml:space="preserve">;  </w:t>
            </w:r>
          </w:p>
          <w:p w14:paraId="153264AF" w14:textId="7C329128"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c) zahtjev da ponuditelj posjeduje opremu u državi ili regiji.</w:t>
            </w:r>
          </w:p>
          <w:p w14:paraId="46A10600" w14:textId="5ECB8DF9" w:rsidR="0096073E" w:rsidRPr="002C6F65" w:rsidRDefault="0096073E" w:rsidP="002C6F65">
            <w:pPr>
              <w:autoSpaceDE w:val="0"/>
              <w:autoSpaceDN w:val="0"/>
              <w:adjustRightInd w:val="0"/>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2E986977" w14:textId="37C2AEFE" w:rsidR="007E7FB3" w:rsidRDefault="007E7FB3"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25 % od ugovorenog iznosa </w:t>
            </w:r>
          </w:p>
          <w:p w14:paraId="12168796" w14:textId="77777777" w:rsidR="007E7FB3" w:rsidRDefault="007E7FB3" w:rsidP="00433D7E">
            <w:pPr>
              <w:spacing w:before="0" w:after="0"/>
              <w:rPr>
                <w:rFonts w:ascii="Times New Roman" w:eastAsia="Calibri" w:hAnsi="Times New Roman" w:cs="Times New Roman"/>
                <w:sz w:val="20"/>
                <w:szCs w:val="20"/>
              </w:rPr>
            </w:pPr>
          </w:p>
          <w:p w14:paraId="0C84C9BE" w14:textId="610BE17F" w:rsidR="00CF3B45" w:rsidRPr="00526530" w:rsidRDefault="007E7FB3" w:rsidP="00CF3B45">
            <w:pPr>
              <w:jc w:val="both"/>
              <w:rPr>
                <w:rFonts w:ascii="Times New Roman" w:hAnsi="Times New Roman"/>
                <w:sz w:val="20"/>
                <w:szCs w:val="20"/>
              </w:rPr>
            </w:pPr>
            <w:r w:rsidRPr="007E7FB3">
              <w:rPr>
                <w:rFonts w:ascii="Times New Roman" w:eastAsia="Calibri" w:hAnsi="Times New Roman" w:cs="Times New Roman"/>
                <w:sz w:val="20"/>
                <w:szCs w:val="20"/>
              </w:rPr>
              <w:t>Ispravak se može umanjiti na 10</w:t>
            </w:r>
            <w:r>
              <w:rPr>
                <w:rFonts w:ascii="Times New Roman" w:eastAsia="Calibri" w:hAnsi="Times New Roman" w:cs="Times New Roman"/>
                <w:sz w:val="20"/>
                <w:szCs w:val="20"/>
              </w:rPr>
              <w:t xml:space="preserve"> </w:t>
            </w:r>
            <w:r w:rsidRPr="007E7FB3">
              <w:rPr>
                <w:rFonts w:ascii="Times New Roman" w:eastAsia="Calibri" w:hAnsi="Times New Roman" w:cs="Times New Roman"/>
                <w:sz w:val="20"/>
                <w:szCs w:val="20"/>
              </w:rPr>
              <w:t xml:space="preserve">% ili 5 % </w:t>
            </w:r>
            <w:r w:rsidR="00CF3B45" w:rsidRPr="00526530">
              <w:rPr>
                <w:rFonts w:ascii="Times New Roman" w:hAnsi="Times New Roman"/>
                <w:sz w:val="20"/>
                <w:szCs w:val="20"/>
              </w:rPr>
              <w:t>ukoliko je osigurana barem minimalna razina tržišnog natjecanja</w:t>
            </w:r>
            <w:r w:rsidR="00CF3B45">
              <w:rPr>
                <w:rFonts w:ascii="Times New Roman" w:hAnsi="Times New Roman"/>
                <w:sz w:val="20"/>
                <w:szCs w:val="20"/>
              </w:rPr>
              <w:t xml:space="preserve"> </w:t>
            </w:r>
            <w:r w:rsidR="00CF3B45" w:rsidRPr="00654D42">
              <w:rPr>
                <w:rFonts w:ascii="Times New Roman" w:hAnsi="Times New Roman"/>
                <w:sz w:val="20"/>
                <w:szCs w:val="20"/>
              </w:rPr>
              <w:t>te ukoliko se uvjet ne odnosi na GS već na stručnjaka ili na dio ugovora koji ne predstavlja glavni predmet nabave</w:t>
            </w:r>
          </w:p>
          <w:p w14:paraId="1985E543" w14:textId="5F4BE18E" w:rsidR="0096073E" w:rsidRPr="000234ED" w:rsidRDefault="0096073E" w:rsidP="003A3CBE">
            <w:pPr>
              <w:spacing w:before="0" w:after="0"/>
              <w:jc w:val="both"/>
              <w:rPr>
                <w:rFonts w:ascii="Times New Roman" w:eastAsia="Calibri" w:hAnsi="Times New Roman" w:cs="Times New Roman"/>
                <w:sz w:val="20"/>
                <w:szCs w:val="20"/>
                <w:highlight w:val="yellow"/>
              </w:rPr>
            </w:pPr>
          </w:p>
          <w:p w14:paraId="075E9864" w14:textId="2E86D567" w:rsidR="0096073E" w:rsidRPr="000234ED" w:rsidRDefault="0096073E" w:rsidP="00350B74">
            <w:pPr>
              <w:spacing w:before="0" w:after="0"/>
              <w:jc w:val="both"/>
              <w:rPr>
                <w:rFonts w:ascii="Times New Roman" w:eastAsia="Calibri" w:hAnsi="Times New Roman" w:cs="Times New Roman"/>
                <w:sz w:val="20"/>
                <w:szCs w:val="20"/>
                <w:highlight w:val="yellow"/>
              </w:rPr>
            </w:pPr>
          </w:p>
        </w:tc>
      </w:tr>
      <w:tr w:rsidR="0096073E" w:rsidRPr="00DC1AD5" w14:paraId="52309536" w14:textId="77777777" w:rsidTr="0096073E">
        <w:trPr>
          <w:trHeight w:val="14885"/>
        </w:trPr>
        <w:tc>
          <w:tcPr>
            <w:tcW w:w="254" w:type="pct"/>
            <w:tcBorders>
              <w:top w:val="single" w:sz="4" w:space="0" w:color="auto"/>
              <w:left w:val="single" w:sz="4" w:space="0" w:color="auto"/>
              <w:right w:val="single" w:sz="4" w:space="0" w:color="auto"/>
            </w:tcBorders>
            <w:vAlign w:val="center"/>
            <w:hideMark/>
          </w:tcPr>
          <w:p w14:paraId="69F1B510" w14:textId="05B59CA0" w:rsidR="0096073E" w:rsidRPr="008F691C" w:rsidRDefault="0096073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78BC249D" w14:textId="440BBF6C" w:rsidR="0096073E" w:rsidRPr="00DC1AD5" w:rsidRDefault="0096073E" w:rsidP="00DF1519">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w:t>
            </w:r>
            <w:r w:rsidR="0020003F">
              <w:rPr>
                <w:rFonts w:ascii="Times New Roman" w:eastAsia="Calibri" w:hAnsi="Times New Roman" w:cs="Times New Roman"/>
                <w:sz w:val="20"/>
                <w:szCs w:val="20"/>
              </w:rPr>
              <w:t xml:space="preserve">, kriterija za </w:t>
            </w:r>
            <w:r>
              <w:rPr>
                <w:rFonts w:ascii="Times New Roman" w:eastAsia="Calibri" w:hAnsi="Times New Roman" w:cs="Times New Roman"/>
                <w:sz w:val="20"/>
                <w:szCs w:val="20"/>
              </w:rPr>
              <w:t xml:space="preserve">odabir gospodarskog subjekta, </w:t>
            </w:r>
            <w:r w:rsidRPr="00E53723">
              <w:rPr>
                <w:rFonts w:ascii="Times New Roman" w:eastAsia="Calibri" w:hAnsi="Times New Roman" w:cs="Times New Roman"/>
                <w:sz w:val="20"/>
                <w:szCs w:val="20"/>
              </w:rPr>
              <w:t>uvjeta za izvršenje ugovora na način koji ima odvraćajući učinak na gospodarske subjekte</w:t>
            </w:r>
            <w:r>
              <w:rPr>
                <w:rFonts w:ascii="Times New Roman" w:eastAsia="Calibri" w:hAnsi="Times New Roman" w:cs="Times New Roman"/>
                <w:sz w:val="20"/>
                <w:szCs w:val="20"/>
              </w:rPr>
              <w:t xml:space="preserve"> ili nezakoniti kriteriji </w:t>
            </w:r>
          </w:p>
        </w:tc>
        <w:tc>
          <w:tcPr>
            <w:tcW w:w="2502" w:type="pct"/>
            <w:tcBorders>
              <w:left w:val="single" w:sz="4" w:space="0" w:color="auto"/>
              <w:right w:val="single" w:sz="4" w:space="0" w:color="auto"/>
            </w:tcBorders>
          </w:tcPr>
          <w:p w14:paraId="02F7CFDD" w14:textId="23BB4390"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financijsku sposobnost (npr. godišnji promet) od ponuditelja, a tražena financijska sposobnost nije razmjerna procijenjenoj vrijednosti ugovora</w:t>
            </w:r>
          </w:p>
          <w:p w14:paraId="387882B1" w14:textId="7F6C97B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kriteriji za odabir gospodarskog subjekta zahtijevaju tehničku i stručnu sposobnost ponuditelja, a koje nisu u skladu s predmetom  nabave (npr. prethodno iskustvo u pružanju usluga stručnog nadzora građevinskih radova u okviru ugovora izvršenog u skladu s FIDIC (Federation Internationale des Ingénieurs-Conseils) općim uvjetima ugovaranja bez ostavljanja mogućnosti za nadmetanje ponuditeljima koji imaju slično iskustvo u provedbi jednakovrijednih ugovora </w:t>
            </w:r>
          </w:p>
          <w:p w14:paraId="023AA276" w14:textId="2FFC4836"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5F081101" w14:textId="34829F07"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1F1CD7EF" w14:textId="7B250619" w:rsidR="00136817" w:rsidRDefault="0096073E" w:rsidP="002C6F65">
            <w:pPr>
              <w:pStyle w:val="ListParagraph"/>
              <w:numPr>
                <w:ilvl w:val="0"/>
                <w:numId w:val="20"/>
              </w:numPr>
              <w:autoSpaceDE w:val="0"/>
              <w:autoSpaceDN w:val="0"/>
              <w:adjustRightInd w:val="0"/>
              <w:spacing w:after="0"/>
              <w:jc w:val="both"/>
            </w:pPr>
            <w:r w:rsidRPr="002C6F65">
              <w:rPr>
                <w:rFonts w:ascii="Times New Roman" w:eastAsia="Calibri" w:hAnsi="Times New Roman" w:cs="Times New Roman"/>
                <w:sz w:val="20"/>
                <w:szCs w:val="20"/>
              </w:rPr>
              <w:t xml:space="preserve">slučajevi kad se navode norme osiguranja kvalitete pri čemu je iz DoN-a izričito ili </w:t>
            </w:r>
            <w:r w:rsidRPr="002C6F65">
              <w:rPr>
                <w:rFonts w:ascii="Times New Roman" w:eastAsia="Calibri" w:hAnsi="Times New Roman" w:cs="Times New Roman"/>
                <w:sz w:val="20"/>
                <w:szCs w:val="20"/>
              </w:rPr>
              <w:lastRenderedPageBreak/>
              <w:t>implicitno onemogućeno priznanje i prihvaćanje jednakovrijednih potvrda (certifikata) o sukladnosti sustava osiguranja kvalitete</w:t>
            </w:r>
            <w:r w:rsidRPr="002C6F65" w:rsidDel="002406FC">
              <w:rPr>
                <w:rFonts w:ascii="Times New Roman" w:eastAsia="Calibri" w:hAnsi="Times New Roman" w:cs="Times New Roman"/>
                <w:sz w:val="20"/>
                <w:szCs w:val="20"/>
              </w:rPr>
              <w:t xml:space="preserve"> </w:t>
            </w:r>
          </w:p>
          <w:p w14:paraId="520ED646" w14:textId="77777777" w:rsidR="00136817" w:rsidRPr="00136817" w:rsidRDefault="00136817" w:rsidP="00136817"/>
          <w:p w14:paraId="73C6D941" w14:textId="77777777" w:rsidR="00136817" w:rsidRPr="00136817" w:rsidRDefault="00136817" w:rsidP="00136817"/>
          <w:p w14:paraId="6E1FF5B0" w14:textId="77777777" w:rsidR="00136817" w:rsidRPr="00136817" w:rsidRDefault="00136817" w:rsidP="00136817"/>
          <w:p w14:paraId="299E5F01" w14:textId="77777777" w:rsidR="00136817" w:rsidRPr="00136817" w:rsidRDefault="00136817" w:rsidP="00136817"/>
          <w:p w14:paraId="5667F573" w14:textId="6FF76CEB" w:rsidR="00136817" w:rsidRDefault="00136817" w:rsidP="00136817"/>
          <w:p w14:paraId="1B93D120" w14:textId="77777777" w:rsidR="00136817" w:rsidRPr="00136817" w:rsidRDefault="00136817" w:rsidP="00136817"/>
          <w:p w14:paraId="43F7ACB5" w14:textId="77777777" w:rsidR="00136817" w:rsidRPr="00136817" w:rsidRDefault="00136817" w:rsidP="00136817"/>
          <w:p w14:paraId="738CB454" w14:textId="77777777" w:rsidR="00136817" w:rsidRPr="00136817" w:rsidRDefault="00136817" w:rsidP="00136817"/>
          <w:p w14:paraId="2274C04A" w14:textId="77777777" w:rsidR="00136817" w:rsidRPr="00136817" w:rsidRDefault="00136817" w:rsidP="00136817"/>
          <w:p w14:paraId="7E198F91" w14:textId="77777777" w:rsidR="00136817" w:rsidRPr="00136817" w:rsidRDefault="00136817" w:rsidP="00136817"/>
          <w:p w14:paraId="3114D697" w14:textId="77777777" w:rsidR="00136817" w:rsidRPr="00136817" w:rsidRDefault="00136817" w:rsidP="00136817"/>
          <w:p w14:paraId="4C67A58A" w14:textId="77777777" w:rsidR="00136817" w:rsidRPr="00136817" w:rsidRDefault="00136817" w:rsidP="00136817"/>
          <w:p w14:paraId="0EBE0D12" w14:textId="77777777" w:rsidR="00136817" w:rsidRPr="00136817" w:rsidRDefault="00136817" w:rsidP="00136817"/>
          <w:p w14:paraId="4F66C4F1" w14:textId="77777777" w:rsidR="00136817" w:rsidRPr="00136817" w:rsidRDefault="00136817" w:rsidP="00136817"/>
          <w:p w14:paraId="35073513" w14:textId="77777777" w:rsidR="00136817" w:rsidRPr="00136817" w:rsidRDefault="00136817" w:rsidP="00136817"/>
          <w:p w14:paraId="44BC2A11" w14:textId="77777777" w:rsidR="00136817" w:rsidRPr="00136817" w:rsidRDefault="00136817" w:rsidP="00136817"/>
          <w:p w14:paraId="6F88CA24" w14:textId="77777777" w:rsidR="00136817" w:rsidRPr="00136817" w:rsidRDefault="00136817" w:rsidP="00136817"/>
          <w:p w14:paraId="71EDEB32" w14:textId="77777777" w:rsidR="00136817" w:rsidRPr="00136817" w:rsidRDefault="00136817" w:rsidP="00136817"/>
          <w:p w14:paraId="6C4AE85B" w14:textId="77777777" w:rsidR="00136817" w:rsidRPr="00136817" w:rsidRDefault="00136817" w:rsidP="00136817"/>
          <w:p w14:paraId="548415B5" w14:textId="77777777" w:rsidR="00136817" w:rsidRPr="00136817" w:rsidRDefault="00136817" w:rsidP="00136817"/>
          <w:p w14:paraId="021A75C0" w14:textId="6A41B0FF" w:rsidR="00136817" w:rsidRDefault="00136817" w:rsidP="00136817"/>
          <w:p w14:paraId="75300438" w14:textId="77777777" w:rsidR="0096073E" w:rsidRPr="00136817" w:rsidRDefault="0096073E" w:rsidP="00136817">
            <w:pPr>
              <w:jc w:val="center"/>
            </w:pPr>
          </w:p>
        </w:tc>
        <w:tc>
          <w:tcPr>
            <w:tcW w:w="1247" w:type="pct"/>
            <w:tcBorders>
              <w:top w:val="single" w:sz="4" w:space="0" w:color="auto"/>
              <w:left w:val="single" w:sz="4" w:space="0" w:color="auto"/>
              <w:right w:val="single" w:sz="4" w:space="0" w:color="auto"/>
            </w:tcBorders>
          </w:tcPr>
          <w:p w14:paraId="67B7B52E" w14:textId="4B7F7A34" w:rsidR="0020003F" w:rsidRPr="00DC1AD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1D2C81CD" w14:textId="77777777" w:rsidR="0020003F" w:rsidRDefault="0020003F" w:rsidP="00211415">
            <w:pPr>
              <w:spacing w:before="0" w:after="0"/>
              <w:jc w:val="both"/>
              <w:rPr>
                <w:rFonts w:ascii="Times New Roman" w:eastAsia="Calibri" w:hAnsi="Times New Roman" w:cs="Times New Roman"/>
                <w:sz w:val="20"/>
                <w:szCs w:val="20"/>
              </w:rPr>
            </w:pPr>
          </w:p>
          <w:p w14:paraId="426BE34F" w14:textId="77777777" w:rsidR="0096073E" w:rsidRDefault="0096073E" w:rsidP="003A3CBE">
            <w:pPr>
              <w:spacing w:before="0" w:after="0"/>
              <w:jc w:val="both"/>
              <w:rPr>
                <w:rFonts w:ascii="Times New Roman" w:eastAsia="Calibri" w:hAnsi="Times New Roman" w:cs="Times New Roman"/>
                <w:sz w:val="20"/>
                <w:szCs w:val="20"/>
                <w:highlight w:val="yellow"/>
              </w:rPr>
            </w:pPr>
          </w:p>
          <w:p w14:paraId="0CA0E33B" w14:textId="207AD65C" w:rsidR="0020003F" w:rsidRPr="0021141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96073E" w:rsidRPr="00211415">
              <w:rPr>
                <w:rFonts w:ascii="Times New Roman" w:eastAsia="Calibri" w:hAnsi="Times New Roman" w:cs="Times New Roman"/>
                <w:sz w:val="20"/>
                <w:szCs w:val="20"/>
              </w:rPr>
              <w:t xml:space="preserve"> slučaju kada uvjeti i kriteriji iako ne diskriminiraju po osnovi zemlje, regije, lokacije ipak imaju odvraćajući učinak na gospodarske subjekte te dovode do ograničavanja tržišnog natjecanja</w:t>
            </w:r>
            <w:r>
              <w:rPr>
                <w:rFonts w:ascii="Times New Roman" w:eastAsia="Calibri" w:hAnsi="Times New Roman" w:cs="Times New Roman"/>
                <w:sz w:val="20"/>
                <w:szCs w:val="20"/>
              </w:rPr>
              <w:t xml:space="preserve"> </w:t>
            </w:r>
            <w:r w:rsidR="00E22F84">
              <w:rPr>
                <w:rFonts w:ascii="Times New Roman" w:eastAsia="Calibri" w:hAnsi="Times New Roman" w:cs="Times New Roman"/>
                <w:sz w:val="20"/>
                <w:szCs w:val="20"/>
              </w:rPr>
              <w:t xml:space="preserve">- </w:t>
            </w:r>
            <w:r w:rsidRPr="00211415">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od ugovorenog iznosa, </w:t>
            </w:r>
            <w:r w:rsidR="00E22F84" w:rsidRPr="00E22F84">
              <w:rPr>
                <w:rFonts w:ascii="Times New Roman" w:eastAsia="Calibri" w:hAnsi="Times New Roman" w:cs="Times New Roman"/>
                <w:sz w:val="20"/>
                <w:szCs w:val="20"/>
              </w:rPr>
              <w:t>ako je unatoč odvraćajućem učinku ipak osigurana minimalna razina tržišnog natjecanja, npr. veći broj ponuda.</w:t>
            </w:r>
            <w:r w:rsidR="00E22F84">
              <w:rPr>
                <w:rFonts w:ascii="Times New Roman" w:eastAsia="Calibri" w:hAnsi="Times New Roman" w:cs="Times New Roman"/>
                <w:sz w:val="20"/>
                <w:szCs w:val="20"/>
              </w:rPr>
              <w:t xml:space="preserve"> </w:t>
            </w:r>
          </w:p>
          <w:p w14:paraId="7B7A1A94" w14:textId="41DC1F38" w:rsidR="0096073E" w:rsidRPr="00DC1AD5" w:rsidRDefault="0096073E"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                                                         </w:t>
            </w:r>
          </w:p>
          <w:p w14:paraId="4DBA81EC" w14:textId="77777777" w:rsidR="00CF3B45" w:rsidRPr="00CF3B45" w:rsidRDefault="00CF3B45" w:rsidP="00CF3B45">
            <w:pPr>
              <w:spacing w:before="0"/>
              <w:jc w:val="both"/>
              <w:rPr>
                <w:rFonts w:ascii="Times New Roman" w:hAnsi="Times New Roman"/>
                <w:sz w:val="20"/>
                <w:szCs w:val="20"/>
              </w:rPr>
            </w:pPr>
            <w:r w:rsidRPr="00CF3B45">
              <w:rPr>
                <w:rFonts w:ascii="Times New Roman" w:hAnsi="Times New Roman"/>
                <w:sz w:val="20"/>
                <w:szCs w:val="20"/>
              </w:rPr>
              <w:t>Iznimno moguće je odrediti i manju korekciju primjenjujući načelo razmjernosti (npr ukoliko se uvjet ne odnosi na GS već na stručnjaka, ukoliko se radi o dijelu ugovora koji je sporedne prirode_)</w:t>
            </w:r>
          </w:p>
          <w:p w14:paraId="165A9A6D" w14:textId="77777777" w:rsidR="0096073E" w:rsidRDefault="0096073E" w:rsidP="00B65BBD">
            <w:pPr>
              <w:spacing w:before="0" w:after="0"/>
              <w:jc w:val="both"/>
              <w:rPr>
                <w:rFonts w:ascii="Times New Roman" w:eastAsia="Calibri" w:hAnsi="Times New Roman" w:cs="Times New Roman"/>
                <w:sz w:val="20"/>
                <w:szCs w:val="20"/>
              </w:rPr>
            </w:pPr>
          </w:p>
          <w:p w14:paraId="52C106D9" w14:textId="2A1ED03F" w:rsidR="0096073E" w:rsidRPr="00DC1AD5" w:rsidRDefault="0096073E" w:rsidP="00433D7E">
            <w:pPr>
              <w:jc w:val="both"/>
              <w:rPr>
                <w:rFonts w:ascii="Times New Roman" w:eastAsia="Calibri" w:hAnsi="Times New Roman" w:cs="Times New Roman"/>
                <w:sz w:val="20"/>
                <w:szCs w:val="20"/>
              </w:rPr>
            </w:pPr>
          </w:p>
        </w:tc>
      </w:tr>
      <w:tr w:rsidR="00FC52CB" w:rsidRPr="00DC1AD5" w14:paraId="182C16F3" w14:textId="77777777" w:rsidTr="002C6F65">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4B451CD5" w14:textId="7B27D27B" w:rsidR="00FC52CB" w:rsidRPr="008F691C" w:rsidRDefault="00FC52CB"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4</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356FED3F" w14:textId="0D35241D" w:rsidR="00FC52CB" w:rsidRPr="0062112C" w:rsidRDefault="00FC52CB" w:rsidP="00B65BBD">
            <w:pPr>
              <w:widowControl w:val="0"/>
              <w:autoSpaceDE w:val="0"/>
              <w:autoSpaceDN w:val="0"/>
              <w:adjustRightInd w:val="0"/>
              <w:spacing w:before="0" w:after="0"/>
              <w:jc w:val="both"/>
              <w:rPr>
                <w:rFonts w:ascii="Times New Roman" w:eastAsia="Calibri" w:hAnsi="Times New Roman" w:cs="Times New Roman"/>
                <w:sz w:val="20"/>
                <w:szCs w:val="20"/>
              </w:rPr>
            </w:pPr>
            <w:r w:rsidRPr="00B65BBD">
              <w:rPr>
                <w:rFonts w:ascii="Times New Roman" w:eastAsia="Calibri" w:hAnsi="Times New Roman" w:cs="Times New Roman"/>
                <w:sz w:val="20"/>
                <w:szCs w:val="20"/>
              </w:rPr>
              <w:t>Upotreba tehničkih specifikacija</w:t>
            </w:r>
            <w:r>
              <w:rPr>
                <w:rFonts w:ascii="Times New Roman" w:eastAsia="Calibri" w:hAnsi="Times New Roman" w:cs="Times New Roman"/>
                <w:sz w:val="20"/>
                <w:szCs w:val="20"/>
              </w:rPr>
              <w:t xml:space="preserve"> prilikom opisa predmeta nabave </w:t>
            </w:r>
            <w:r w:rsidRPr="00B65BBD">
              <w:rPr>
                <w:rFonts w:ascii="Times New Roman" w:eastAsia="Calibri" w:hAnsi="Times New Roman" w:cs="Times New Roman"/>
                <w:sz w:val="20"/>
                <w:szCs w:val="20"/>
              </w:rPr>
              <w:t xml:space="preserve"> na način </w:t>
            </w:r>
            <w:r>
              <w:rPr>
                <w:rFonts w:ascii="Times New Roman" w:eastAsia="Calibri" w:hAnsi="Times New Roman" w:cs="Times New Roman"/>
                <w:sz w:val="20"/>
                <w:szCs w:val="20"/>
              </w:rPr>
              <w:t>koji ima</w:t>
            </w:r>
            <w:r w:rsidRPr="00B65BBD">
              <w:rPr>
                <w:rFonts w:ascii="Times New Roman" w:eastAsia="Calibri" w:hAnsi="Times New Roman" w:cs="Times New Roman"/>
                <w:sz w:val="20"/>
                <w:szCs w:val="20"/>
              </w:rPr>
              <w:t xml:space="preserve">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D544864"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U slučaju kada tehničke specifikacije koje se koriste prilikom opisa predmeta nabave  imaju odvraćajući učinak na gospodarske subjekte te dovode do ograničavanja tržišnog natjecanja.</w:t>
            </w:r>
          </w:p>
          <w:p w14:paraId="1569E059"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19D07CC4" w14:textId="4D960D47"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 xml:space="preserve">Navedeno uključuje, ali nije ograničeno na slučajeve gdje: </w:t>
            </w:r>
          </w:p>
          <w:p w14:paraId="752366BE" w14:textId="490B69D6"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709D19BC" w14:textId="41C2B178"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 xml:space="preserve">slučajevi kada se navode robne marke,  s ili bez upotrebe izraza "ili jednakovrijedno", osim ako se takvi zahtjevi odnose na popratni i financijski manje značajan dio ugovora </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koliko stavke troškovnika zahvaćene nepravilnošću čine manje od 5% ukupne vrijednosti ugovora o nabavi</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 xml:space="preserve">te je potencijalni utjecaj na proračun EU-a samo formalne prirode </w:t>
            </w:r>
          </w:p>
          <w:p w14:paraId="55F14818"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26D99A" w14:textId="651F1AF0"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kada se navode norme bez upotrebe izraza "</w:t>
            </w:r>
            <w:r w:rsidR="00360C3C">
              <w:rPr>
                <w:rFonts w:ascii="Times New Roman" w:eastAsia="Calibri" w:hAnsi="Times New Roman" w:cs="Times New Roman"/>
                <w:sz w:val="20"/>
                <w:szCs w:val="20"/>
              </w:rPr>
              <w:t xml:space="preserve">ili </w:t>
            </w:r>
            <w:r w:rsidRPr="00512879">
              <w:rPr>
                <w:rFonts w:ascii="Times New Roman" w:eastAsia="Calibri" w:hAnsi="Times New Roman" w:cs="Times New Roman"/>
                <w:sz w:val="20"/>
                <w:szCs w:val="20"/>
              </w:rPr>
              <w:t xml:space="preserve">jednakovrijedno", uzimajući u obzir </w:t>
            </w:r>
            <w:r w:rsidR="00360C3C">
              <w:rPr>
                <w:rFonts w:ascii="Times New Roman" w:eastAsia="Calibri" w:hAnsi="Times New Roman" w:cs="Times New Roman"/>
                <w:sz w:val="20"/>
                <w:szCs w:val="20"/>
              </w:rPr>
              <w:t xml:space="preserve">da li su dokumentacijom o nabavi zahtijevane norme </w:t>
            </w:r>
            <w:r w:rsidR="00360C3C" w:rsidRPr="00360C3C">
              <w:rPr>
                <w:rFonts w:ascii="Times New Roman" w:eastAsia="Calibri" w:hAnsi="Times New Roman" w:cs="Times New Roman"/>
                <w:sz w:val="20"/>
                <w:szCs w:val="20"/>
              </w:rPr>
              <w:t>nužne i obvezne te za koje je, stoga, izvjesno da im mogu udovoljiti svi ili najveći broj zainteresiranih ponuditelja na tržištu</w:t>
            </w:r>
            <w:r w:rsidR="00360C3C">
              <w:rPr>
                <w:rFonts w:ascii="Times New Roman" w:eastAsia="Calibri" w:hAnsi="Times New Roman" w:cs="Times New Roman"/>
                <w:sz w:val="20"/>
                <w:szCs w:val="20"/>
              </w:rPr>
              <w:t xml:space="preserve">, </w:t>
            </w:r>
            <w:r w:rsidR="00E63E93">
              <w:rPr>
                <w:rFonts w:ascii="Times New Roman" w:eastAsia="Calibri" w:hAnsi="Times New Roman" w:cs="Times New Roman"/>
                <w:sz w:val="20"/>
                <w:szCs w:val="20"/>
              </w:rPr>
              <w:t xml:space="preserve"> </w:t>
            </w:r>
            <w:r w:rsidR="00360C3C">
              <w:rPr>
                <w:rFonts w:ascii="Times New Roman" w:eastAsia="Calibri" w:hAnsi="Times New Roman" w:cs="Times New Roman"/>
                <w:sz w:val="20"/>
                <w:szCs w:val="20"/>
              </w:rPr>
              <w:t xml:space="preserve">vrijednost stavke zahvaćene nepravilnošću ili/i sporednu prirodu stavke </w:t>
            </w:r>
          </w:p>
          <w:p w14:paraId="27AF4CF2" w14:textId="77777777" w:rsidR="00FC52CB" w:rsidRDefault="00FC52CB" w:rsidP="00EC4A93">
            <w:pPr>
              <w:autoSpaceDE w:val="0"/>
              <w:autoSpaceDN w:val="0"/>
              <w:adjustRightInd w:val="0"/>
              <w:spacing w:before="0" w:after="0"/>
              <w:jc w:val="both"/>
              <w:rPr>
                <w:rFonts w:ascii="Times New Roman" w:eastAsia="Calibri" w:hAnsi="Times New Roman" w:cs="Times New Roman"/>
                <w:sz w:val="20"/>
                <w:szCs w:val="20"/>
              </w:rPr>
            </w:pPr>
          </w:p>
          <w:p w14:paraId="21ED69DF" w14:textId="249A939F" w:rsidR="00FC52CB" w:rsidRPr="0062112C" w:rsidRDefault="00FC52CB" w:rsidP="00B65BBD">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C27E615" w14:textId="24A0DD63" w:rsidR="00FC52CB" w:rsidRPr="00512879" w:rsidRDefault="00FC52CB" w:rsidP="0051287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E63E93">
              <w:rPr>
                <w:rFonts w:ascii="Times New Roman" w:eastAsia="Calibri" w:hAnsi="Times New Roman" w:cs="Times New Roman"/>
                <w:sz w:val="20"/>
                <w:szCs w:val="20"/>
              </w:rPr>
              <w:t>5</w:t>
            </w:r>
            <w:r w:rsidRPr="00512879">
              <w:rPr>
                <w:rFonts w:ascii="Times New Roman" w:eastAsia="Calibri" w:hAnsi="Times New Roman" w:cs="Times New Roman"/>
                <w:sz w:val="20"/>
                <w:szCs w:val="20"/>
              </w:rPr>
              <w:t>%</w:t>
            </w:r>
            <w:r w:rsidR="0096073E">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u slučaju kada su propisane tehničke specifikacije dovele do situacije u kojoj je samo jedan gospodarski subjekt mogao predati ponudu, a takav ishod ne može se opravdati tehničkim uvjetima određenog ugovora</w:t>
            </w:r>
          </w:p>
          <w:p w14:paraId="61B2964F" w14:textId="77777777" w:rsidR="00FC52CB" w:rsidRPr="00512879" w:rsidRDefault="00FC52CB" w:rsidP="00512879">
            <w:pPr>
              <w:spacing w:before="0" w:after="0"/>
              <w:jc w:val="both"/>
              <w:rPr>
                <w:rFonts w:ascii="Times New Roman" w:eastAsia="Calibri" w:hAnsi="Times New Roman" w:cs="Times New Roman"/>
                <w:sz w:val="20"/>
                <w:szCs w:val="20"/>
              </w:rPr>
            </w:pPr>
          </w:p>
          <w:p w14:paraId="364AC3D4" w14:textId="3FF0790C" w:rsidR="00FC52CB" w:rsidRDefault="00FC52CB" w:rsidP="00B65BBD">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06691C">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10% ili 5% </w:t>
            </w:r>
            <w:r w:rsidR="00733DA4">
              <w:rPr>
                <w:rFonts w:ascii="Times New Roman" w:eastAsia="Calibri" w:hAnsi="Times New Roman" w:cs="Times New Roman"/>
                <w:sz w:val="20"/>
                <w:szCs w:val="20"/>
              </w:rPr>
              <w:t xml:space="preserve">od ugovorenog iznosa, ovisno o ozbiljnosti nepravilnosti </w:t>
            </w:r>
          </w:p>
          <w:p w14:paraId="4D9CDB55" w14:textId="77777777" w:rsidR="00FC52CB" w:rsidRDefault="00FC52CB" w:rsidP="00B65BBD">
            <w:pPr>
              <w:spacing w:before="0" w:after="0"/>
              <w:jc w:val="both"/>
              <w:rPr>
                <w:rFonts w:ascii="Times New Roman" w:eastAsia="Calibri" w:hAnsi="Times New Roman" w:cs="Times New Roman"/>
                <w:sz w:val="20"/>
                <w:szCs w:val="20"/>
              </w:rPr>
            </w:pPr>
          </w:p>
          <w:p w14:paraId="09C2D33A" w14:textId="57C72520" w:rsidR="00FC52CB" w:rsidRDefault="00FC52CB" w:rsidP="00B65BBD">
            <w:pPr>
              <w:spacing w:before="0" w:after="0"/>
              <w:jc w:val="both"/>
              <w:rPr>
                <w:rFonts w:ascii="Times New Roman" w:eastAsia="Calibri" w:hAnsi="Times New Roman" w:cs="Times New Roman"/>
                <w:sz w:val="20"/>
                <w:szCs w:val="20"/>
              </w:rPr>
            </w:pPr>
          </w:p>
          <w:p w14:paraId="61F87D80" w14:textId="77777777" w:rsidR="00733DA4" w:rsidRDefault="00733DA4" w:rsidP="00B65BBD">
            <w:pPr>
              <w:spacing w:before="0" w:after="0"/>
              <w:jc w:val="both"/>
              <w:rPr>
                <w:rFonts w:ascii="Times New Roman" w:eastAsia="Calibri" w:hAnsi="Times New Roman" w:cs="Times New Roman"/>
                <w:sz w:val="20"/>
                <w:szCs w:val="20"/>
              </w:rPr>
            </w:pPr>
          </w:p>
          <w:p w14:paraId="2C035DA4" w14:textId="249B52A0" w:rsidR="00733DA4" w:rsidRPr="0062112C" w:rsidDel="000D43A7" w:rsidRDefault="00733DA4" w:rsidP="00B65BBD">
            <w:pPr>
              <w:spacing w:before="0" w:after="0"/>
              <w:jc w:val="both"/>
              <w:rPr>
                <w:rFonts w:ascii="Times New Roman" w:eastAsia="Calibri" w:hAnsi="Times New Roman" w:cs="Times New Roman"/>
                <w:sz w:val="20"/>
                <w:szCs w:val="20"/>
              </w:rPr>
            </w:pPr>
          </w:p>
        </w:tc>
      </w:tr>
      <w:tr w:rsidR="00FC52CB" w:rsidRPr="00DC1AD5" w14:paraId="06983533" w14:textId="2F4D0ACF" w:rsidTr="002C6F65">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C2AF0" w14:textId="36BEE19F" w:rsidR="00FC52CB" w:rsidRPr="00CE753A" w:rsidRDefault="00FC52CB"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FC52CB" w:rsidRPr="00DC1AD5" w14:paraId="69B857F9"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451F6EAE" w14:textId="0DE82AA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5</w:t>
            </w:r>
            <w:r>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56FE79C3" w14:textId="0B82879D"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FC52CB" w:rsidRPr="00DC1AD5"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5C75110D" w14:textId="7C87EA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Kriteriji za </w:t>
            </w:r>
            <w:r w:rsidRPr="00A9738A" w:rsidDel="0073301D">
              <w:rPr>
                <w:rFonts w:ascii="Times New Roman" w:eastAsia="Calibri" w:hAnsi="Times New Roman" w:cs="Times New Roman"/>
                <w:sz w:val="20"/>
                <w:szCs w:val="20"/>
              </w:rPr>
              <w:t xml:space="preserve">kvalitativni </w:t>
            </w:r>
            <w:r w:rsidRPr="00A9738A">
              <w:rPr>
                <w:rFonts w:ascii="Times New Roman" w:eastAsia="Calibri" w:hAnsi="Times New Roman" w:cs="Times New Roman"/>
                <w:sz w:val="20"/>
                <w:szCs w:val="20"/>
              </w:rPr>
              <w:t xml:space="preserve">odabir gospodarskog subjekta ili </w:t>
            </w:r>
            <w:r w:rsidRPr="00A9738A" w:rsidDel="00935209">
              <w:rPr>
                <w:rFonts w:ascii="Times New Roman" w:eastAsia="Calibri" w:hAnsi="Times New Roman" w:cs="Times New Roman"/>
                <w:sz w:val="20"/>
                <w:szCs w:val="20"/>
              </w:rPr>
              <w:t>te</w:t>
            </w:r>
            <w:r w:rsidRPr="00A9738A">
              <w:rPr>
                <w:rFonts w:ascii="Times New Roman" w:eastAsia="Calibri" w:hAnsi="Times New Roman" w:cs="Times New Roman"/>
                <w:sz w:val="20"/>
                <w:szCs w:val="20"/>
              </w:rPr>
              <w:t>hničke specifikacije nakon otvaranja ponuda nisu ispravno primijenjeni/e/i</w:t>
            </w:r>
            <w:r w:rsidRPr="00A9738A" w:rsidDel="009E1B2F">
              <w:rPr>
                <w:rFonts w:ascii="Times New Roman" w:eastAsia="Calibri" w:hAnsi="Times New Roman" w:cs="Times New Roman"/>
                <w:sz w:val="20"/>
                <w:szCs w:val="20"/>
              </w:rPr>
              <w:t>zmijenjeni</w:t>
            </w:r>
            <w:r w:rsidRPr="00A9738A">
              <w:rPr>
                <w:rFonts w:ascii="Times New Roman" w:eastAsia="Calibri" w:hAnsi="Times New Roman" w:cs="Times New Roman"/>
                <w:sz w:val="20"/>
                <w:szCs w:val="20"/>
              </w:rPr>
              <w:t>/e</w:t>
            </w:r>
            <w:r w:rsidRPr="00A9738A" w:rsidDel="009E1B2F">
              <w:rPr>
                <w:rFonts w:ascii="Times New Roman" w:eastAsia="Calibri" w:hAnsi="Times New Roman" w:cs="Times New Roman"/>
                <w:sz w:val="20"/>
                <w:szCs w:val="20"/>
              </w:rPr>
              <w:t xml:space="preserve"> su u fazi ocjenjivanja ponuda</w:t>
            </w:r>
            <w:r w:rsidRPr="00A9738A">
              <w:rPr>
                <w:rFonts w:ascii="Times New Roman" w:eastAsia="Calibri" w:hAnsi="Times New Roman" w:cs="Times New Roman"/>
                <w:sz w:val="20"/>
                <w:szCs w:val="20"/>
              </w:rPr>
              <w:t>, zbog čega je:</w:t>
            </w:r>
          </w:p>
          <w:p w14:paraId="121C0195" w14:textId="5524191F" w:rsidR="00FC52CB" w:rsidRPr="00A9738A" w:rsidRDefault="00FC52CB" w:rsidP="00A13074">
            <w:pPr>
              <w:pStyle w:val="ListParagraph"/>
              <w:numPr>
                <w:ilvl w:val="0"/>
                <w:numId w:val="4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672B0906" w14:textId="2F75BAF2" w:rsidR="00FC52CB" w:rsidRPr="00A9738A" w:rsidRDefault="00FC52CB" w:rsidP="002C6F65">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je odbijen ili isključen ponuditelj koji je trebao biti prihvaćen</w:t>
            </w:r>
            <w:r w:rsidRPr="00A9738A">
              <w:rPr>
                <w:rStyle w:val="FootnoteReference"/>
                <w:rFonts w:ascii="Times New Roman" w:eastAsia="Calibri" w:hAnsi="Times New Roman" w:cs="Times New Roman"/>
                <w:sz w:val="20"/>
                <w:szCs w:val="20"/>
              </w:rPr>
              <w:footnoteReference w:id="9"/>
            </w:r>
            <w:r w:rsidRPr="00A9738A">
              <w:rPr>
                <w:rFonts w:ascii="Times New Roman" w:eastAsia="Calibri" w:hAnsi="Times New Roman" w:cs="Times New Roman"/>
                <w:sz w:val="20"/>
                <w:szCs w:val="20"/>
              </w:rPr>
              <w:t xml:space="preserve"> da su se poštivali objavljeni kriteriji za kvalitativni odabir gospodarskog subjekta ili tehničke specifikacije.</w:t>
            </w:r>
          </w:p>
          <w:p w14:paraId="79061C78"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238D494C" w14:textId="053AD51D" w:rsidR="00AA53ED"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U iznimnim i opravdanim slučajevima moguće je, uz „case by case“ pristup, odstupiti od razine financijske korekcije zadane u ovim Pravilima, uzimajući u obzir prirodu i težinu nepravilnosti te financijskog gubitka za proračun Europske unije:</w:t>
            </w:r>
          </w:p>
          <w:p w14:paraId="5757E564"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1292347C" w14:textId="12F3ED68"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i/>
                <w:sz w:val="20"/>
                <w:szCs w:val="20"/>
              </w:rPr>
            </w:pPr>
            <w:r w:rsidRPr="00A9738A">
              <w:rPr>
                <w:rFonts w:ascii="Times New Roman" w:eastAsia="Calibri" w:hAnsi="Times New Roman" w:cs="Times New Roman"/>
                <w:sz w:val="20"/>
                <w:szCs w:val="20"/>
                <w:u w:val="single"/>
              </w:rPr>
              <w:t xml:space="preserve">Kriteriji za kvalitativni odabir gospodarskog subjekta </w:t>
            </w:r>
          </w:p>
          <w:p w14:paraId="4F8FCEC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i/>
                <w:sz w:val="20"/>
                <w:szCs w:val="20"/>
              </w:rPr>
            </w:pPr>
          </w:p>
          <w:p w14:paraId="4EA72C1C" w14:textId="3D0E7301"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Ukoliko se dodatnim dokazivanjem u postupku ex post kontrole prikupe dokazi koji potvrđuju da </w:t>
            </w:r>
            <w:r w:rsidR="00AA53ED" w:rsidRPr="00A9738A">
              <w:rPr>
                <w:rFonts w:ascii="Times New Roman" w:eastAsia="Calibri" w:hAnsi="Times New Roman" w:cs="Times New Roman"/>
                <w:sz w:val="20"/>
                <w:szCs w:val="20"/>
              </w:rPr>
              <w:t>sukladnost ponude sa uvjetima iz DoN-a</w:t>
            </w:r>
            <w:r w:rsidRPr="00A9738A">
              <w:rPr>
                <w:rFonts w:ascii="Times New Roman" w:eastAsia="Calibri" w:hAnsi="Times New Roman" w:cs="Times New Roman"/>
                <w:sz w:val="20"/>
                <w:szCs w:val="20"/>
              </w:rPr>
              <w:t xml:space="preserve"> u trenutku provedbe postupka javne nabave, može se razmotriti snižavanje financijske korekcije.</w:t>
            </w:r>
          </w:p>
          <w:p w14:paraId="1AD545B6" w14:textId="0A2BC894"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2A0A2C7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6358EF0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65D6CDE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Okolnosti koje se prvenstveno trebaju uzeti u obzir su:</w:t>
            </w:r>
          </w:p>
          <w:p w14:paraId="7CA652D6" w14:textId="46E1727B"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ako</w:t>
            </w: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nije ni naknadno dokazan</w:t>
            </w:r>
            <w:r w:rsidR="00AA53ED" w:rsidRPr="00A9738A">
              <w:rPr>
                <w:rFonts w:ascii="Times New Roman" w:eastAsia="Calibri" w:hAnsi="Times New Roman" w:cs="Times New Roman"/>
                <w:sz w:val="20"/>
                <w:szCs w:val="20"/>
              </w:rPr>
              <w:t>a sukladnost ponude sa uvjetima iz DoN-a</w:t>
            </w:r>
            <w:r w:rsidRPr="00A9738A">
              <w:rPr>
                <w:rFonts w:ascii="Times New Roman" w:eastAsia="Calibri" w:hAnsi="Times New Roman" w:cs="Times New Roman"/>
                <w:sz w:val="20"/>
                <w:szCs w:val="20"/>
              </w:rPr>
              <w:t xml:space="preserve">, načelno nema okolnosti koja bi mogla opravdati umanjenje predviđene korekcije od </w:t>
            </w:r>
            <w:r w:rsidR="00AA53ED" w:rsidRPr="00A9738A">
              <w:rPr>
                <w:rFonts w:ascii="Times New Roman" w:eastAsia="Calibri" w:hAnsi="Times New Roman" w:cs="Times New Roman"/>
                <w:sz w:val="20"/>
                <w:szCs w:val="20"/>
              </w:rPr>
              <w:t>2</w:t>
            </w:r>
            <w:r w:rsidRPr="00A9738A">
              <w:rPr>
                <w:rFonts w:ascii="Times New Roman" w:eastAsia="Calibri" w:hAnsi="Times New Roman" w:cs="Times New Roman"/>
                <w:sz w:val="20"/>
                <w:szCs w:val="20"/>
              </w:rPr>
              <w:t>5%</w:t>
            </w:r>
          </w:p>
          <w:p w14:paraId="31DEEFCE" w14:textId="0E9A8D10"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ako je naknadno dokazan</w:t>
            </w:r>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w:t>
            </w:r>
            <w:r w:rsidR="00AA53ED" w:rsidRPr="00A9738A">
              <w:rPr>
                <w:rFonts w:ascii="Times New Roman" w:eastAsia="Calibri" w:hAnsi="Times New Roman" w:cs="Times New Roman"/>
                <w:sz w:val="20"/>
                <w:szCs w:val="20"/>
              </w:rPr>
              <w:t>sukladnost ponude sa uvjetima iz DoN-a, moguće je umanjiti financijski ispravak na 10% ili 5%, a u iznimnim i opravdanim slučajevima moguće je utvrditi i nepostojanje nepravilnosti</w:t>
            </w:r>
          </w:p>
          <w:p w14:paraId="4CBA964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30A601B6" w14:textId="241EC464"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Tehničke specifikacije</w:t>
            </w:r>
          </w:p>
          <w:p w14:paraId="7A92F79A" w14:textId="77777777" w:rsidR="00FC52CB" w:rsidRPr="00A9738A" w:rsidRDefault="00FC52CB" w:rsidP="002C6F65">
            <w:p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slučajevima u kojima je naručitelj prihvatio ponudu:</w:t>
            </w:r>
          </w:p>
          <w:p w14:paraId="5357C94D" w14:textId="5C39F3D6"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koja u izrazito malom dijelu</w:t>
            </w:r>
            <w:r w:rsidR="00733DA4" w:rsidRPr="00A9738A">
              <w:rPr>
                <w:rFonts w:ascii="Times New Roman" w:eastAsia="Calibri" w:hAnsi="Times New Roman" w:cs="Times New Roman"/>
                <w:sz w:val="20"/>
                <w:szCs w:val="20"/>
              </w:rPr>
              <w:t xml:space="preserve"> (5% vrijednosti ugovora)</w:t>
            </w:r>
            <w:r w:rsidRPr="00A9738A">
              <w:rPr>
                <w:rFonts w:ascii="Times New Roman" w:eastAsia="Calibri" w:hAnsi="Times New Roman" w:cs="Times New Roman"/>
                <w:sz w:val="20"/>
                <w:szCs w:val="20"/>
              </w:rPr>
              <w:t xml:space="preserve"> ne udovoljava tehničkim specifikacijama koje su tražene dokumentacijom o nabavi </w:t>
            </w:r>
          </w:p>
          <w:p w14:paraId="3E8543D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kada je nepravilnim postupanjem zahvaćena neznatna vrijednost ugovorenog troškovnika</w:t>
            </w:r>
          </w:p>
          <w:p w14:paraId="2A9323E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kada je ponuda odabranog ponuditelja bila jedina (valjana) ponuda </w:t>
            </w:r>
          </w:p>
          <w:p w14:paraId="1AE03AD4"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27013D47" w14:textId="77777777" w:rsidR="00FC52CB" w:rsidRPr="00A9738A" w:rsidRDefault="00FC52CB">
            <w:pPr>
              <w:pStyle w:val="ListParagraph"/>
              <w:autoSpaceDE w:val="0"/>
              <w:autoSpaceDN w:val="0"/>
              <w:adjustRightInd w:val="0"/>
              <w:spacing w:after="0"/>
              <w:ind w:left="771"/>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moguće je navedeno postupanje okarakterizirati kao formalni propust bez financijskog učinka. </w:t>
            </w:r>
          </w:p>
          <w:p w14:paraId="38534C67" w14:textId="0865086F"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val="restart"/>
            <w:tcBorders>
              <w:left w:val="single" w:sz="4" w:space="0" w:color="auto"/>
              <w:right w:val="single" w:sz="4" w:space="0" w:color="auto"/>
            </w:tcBorders>
          </w:tcPr>
          <w:p w14:paraId="1F25B64F" w14:textId="72094F0F" w:rsidR="00FC52CB" w:rsidRPr="00DC1AD5" w:rsidRDefault="00AA53ED"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C52CB" w:rsidRPr="00DC1AD5">
              <w:rPr>
                <w:rFonts w:ascii="Times New Roman" w:eastAsia="Calibri" w:hAnsi="Times New Roman" w:cs="Times New Roman"/>
                <w:sz w:val="20"/>
                <w:szCs w:val="20"/>
              </w:rPr>
              <w:t xml:space="preserve">5% od ugovorenog iznosa </w:t>
            </w:r>
            <w:r>
              <w:rPr>
                <w:rFonts w:ascii="Times New Roman" w:eastAsia="Calibri" w:hAnsi="Times New Roman" w:cs="Times New Roman"/>
                <w:sz w:val="20"/>
                <w:szCs w:val="20"/>
              </w:rPr>
              <w:t>samo u slučajevima kada je nepoštivanje propisanih kriterija dovelo do sklapanja ugovora sa ponuditeljem koji ne bi bio izabran</w:t>
            </w:r>
          </w:p>
          <w:p w14:paraId="04CFB7D7" w14:textId="77777777" w:rsidR="00FC52CB" w:rsidRDefault="00FC52CB" w:rsidP="00A13074">
            <w:pPr>
              <w:spacing w:before="0" w:after="0"/>
              <w:jc w:val="both"/>
              <w:rPr>
                <w:rFonts w:ascii="Times New Roman" w:eastAsia="Calibri" w:hAnsi="Times New Roman" w:cs="Times New Roman"/>
                <w:sz w:val="20"/>
                <w:szCs w:val="20"/>
              </w:rPr>
            </w:pPr>
          </w:p>
          <w:p w14:paraId="5C03D358" w14:textId="77777777" w:rsidR="00FC52CB" w:rsidRPr="000A3444" w:rsidRDefault="00FC52CB" w:rsidP="00A13074">
            <w:pPr>
              <w:spacing w:before="0" w:after="0"/>
              <w:jc w:val="both"/>
              <w:rPr>
                <w:rFonts w:ascii="Times New Roman" w:eastAsia="Calibri" w:hAnsi="Times New Roman" w:cs="Times New Roman"/>
                <w:sz w:val="20"/>
                <w:szCs w:val="20"/>
                <w:highlight w:val="yellow"/>
              </w:rPr>
            </w:pPr>
          </w:p>
          <w:p w14:paraId="1417A241" w14:textId="3E64F64D" w:rsidR="00FC52CB" w:rsidRPr="00DC1AD5" w:rsidRDefault="0059240E" w:rsidP="00A13074">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Ukoliko stavke troškovnika zahvaćene nepravilnošću čine manje od 5% ukupne vrijednosti ugovora o nabavi, u iznimnim i opravdanim </w:t>
            </w:r>
            <w:r w:rsidRPr="0059240E">
              <w:rPr>
                <w:rFonts w:ascii="Times New Roman" w:eastAsia="Calibri" w:hAnsi="Times New Roman" w:cs="Times New Roman"/>
                <w:sz w:val="20"/>
                <w:szCs w:val="20"/>
              </w:rPr>
              <w:lastRenderedPageBreak/>
              <w:t>slučajevima, moguće je odstupiti od razine financijske korekcije zadane u ovim Pravilima</w:t>
            </w:r>
          </w:p>
        </w:tc>
      </w:tr>
      <w:tr w:rsidR="00FC52CB" w:rsidRPr="00DC1AD5" w14:paraId="6727BEBA"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48AAFC8F" w14:textId="77777777" w:rsidR="00FC52CB" w:rsidRDefault="00FC52CB"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62A7CDF1" w14:textId="77777777" w:rsidR="00FC52CB" w:rsidRPr="00433D7E" w:rsidRDefault="00FC52CB" w:rsidP="00A13074">
            <w:pPr>
              <w:autoSpaceDE w:val="0"/>
              <w:autoSpaceDN w:val="0"/>
              <w:adjustRightInd w:val="0"/>
              <w:spacing w:before="0" w:after="0"/>
              <w:jc w:val="both"/>
              <w:rPr>
                <w:rFonts w:ascii="Times New Roman" w:hAnsi="Times New Roman" w:cs="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5A948824" w14:textId="77777777"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top w:val="single" w:sz="4" w:space="0" w:color="auto"/>
              <w:left w:val="single" w:sz="4" w:space="0" w:color="auto"/>
              <w:right w:val="single" w:sz="4" w:space="0" w:color="auto"/>
            </w:tcBorders>
          </w:tcPr>
          <w:p w14:paraId="0F37B502" w14:textId="77777777" w:rsidR="00FC52CB" w:rsidRPr="00DC1AD5" w:rsidDel="008C5D8F" w:rsidRDefault="00FC52CB" w:rsidP="00A13074">
            <w:pPr>
              <w:spacing w:before="0" w:after="0"/>
              <w:jc w:val="both"/>
              <w:rPr>
                <w:rFonts w:ascii="Times New Roman" w:eastAsia="Calibri" w:hAnsi="Times New Roman" w:cs="Times New Roman"/>
                <w:sz w:val="20"/>
                <w:szCs w:val="20"/>
              </w:rPr>
            </w:pPr>
          </w:p>
        </w:tc>
      </w:tr>
      <w:tr w:rsidR="001D7591" w:rsidRPr="00DC1AD5" w14:paraId="6A48B8A7" w14:textId="77777777" w:rsidTr="0059240E">
        <w:trPr>
          <w:trHeight w:val="1209"/>
        </w:trPr>
        <w:tc>
          <w:tcPr>
            <w:tcW w:w="254" w:type="pct"/>
            <w:vMerge w:val="restart"/>
            <w:tcBorders>
              <w:top w:val="single" w:sz="4" w:space="0" w:color="auto"/>
              <w:left w:val="single" w:sz="4" w:space="0" w:color="auto"/>
              <w:right w:val="single" w:sz="4" w:space="0" w:color="auto"/>
            </w:tcBorders>
            <w:vAlign w:val="center"/>
          </w:tcPr>
          <w:p w14:paraId="159C3677" w14:textId="6A2AF605"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16</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E9F7B" w14:textId="7A0A337A"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obavijesti o nadmetanju    ili dokumentaciji o nabavi ili  </w:t>
            </w:r>
          </w:p>
          <w:p w14:paraId="4549109E" w14:textId="77777777" w:rsidR="001D7591" w:rsidRPr="00DC1AD5"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1D7591" w:rsidRPr="00DC1AD5" w:rsidRDefault="001D7591"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FE97A26" w14:textId="32DE2CE9"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Tijekom ocjenjivanja došlo je do odstupanja od kriterija za odabir ili pondera objavljenih u obavijesti o nadmetanju ili dokumentaciji o nabavi ili su upotrjebljeni kriteriji koji nisu objavljeni.</w:t>
            </w:r>
          </w:p>
          <w:p w14:paraId="1429F7D1" w14:textId="77777777"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p>
          <w:p w14:paraId="16B0F45D" w14:textId="77777777" w:rsidR="001D7591" w:rsidRPr="00CE753A" w:rsidRDefault="001D7591" w:rsidP="00A13074">
            <w:pPr>
              <w:spacing w:before="0" w:after="0"/>
              <w:rPr>
                <w:rFonts w:ascii="Times New Roman" w:eastAsia="Calibri" w:hAnsi="Times New Roman" w:cs="Times New Roman"/>
                <w:sz w:val="20"/>
                <w:szCs w:val="20"/>
              </w:rPr>
            </w:pPr>
          </w:p>
        </w:tc>
        <w:tc>
          <w:tcPr>
            <w:tcW w:w="1247" w:type="pct"/>
            <w:vMerge w:val="restart"/>
            <w:tcBorders>
              <w:top w:val="single" w:sz="4" w:space="0" w:color="auto"/>
              <w:left w:val="single" w:sz="4" w:space="0" w:color="auto"/>
              <w:right w:val="single" w:sz="4" w:space="0" w:color="auto"/>
            </w:tcBorders>
          </w:tcPr>
          <w:p w14:paraId="4438F4A8" w14:textId="3FCD0066" w:rsidR="001D7591" w:rsidRPr="00CE753A"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25 </w:t>
            </w:r>
            <w:r w:rsidR="001D7591" w:rsidRPr="00CE753A">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10% ili 5%, ovisno o ozbiljnosti nepravilnosti </w:t>
            </w:r>
          </w:p>
          <w:p w14:paraId="580EBAC1" w14:textId="77777777" w:rsidR="001D7591" w:rsidRPr="00CE753A" w:rsidRDefault="001D7591" w:rsidP="00A13074">
            <w:pPr>
              <w:spacing w:before="0" w:after="0"/>
              <w:jc w:val="both"/>
              <w:rPr>
                <w:rFonts w:ascii="Times New Roman" w:eastAsia="Calibri" w:hAnsi="Times New Roman" w:cs="Times New Roman"/>
                <w:sz w:val="20"/>
                <w:szCs w:val="20"/>
              </w:rPr>
            </w:pPr>
          </w:p>
          <w:p w14:paraId="1D9B4F95" w14:textId="4D2DAC5A" w:rsidR="001D7591" w:rsidRPr="00CE753A" w:rsidRDefault="001D7591" w:rsidP="00A13074">
            <w:pPr>
              <w:spacing w:before="0" w:after="0"/>
              <w:jc w:val="both"/>
              <w:rPr>
                <w:rFonts w:ascii="Times New Roman" w:eastAsia="Calibri" w:hAnsi="Times New Roman" w:cs="Times New Roman"/>
                <w:sz w:val="20"/>
                <w:szCs w:val="20"/>
              </w:rPr>
            </w:pPr>
          </w:p>
        </w:tc>
      </w:tr>
      <w:tr w:rsidR="001D7591" w:rsidRPr="00DC1AD5" w14:paraId="03EB93F3" w14:textId="77777777" w:rsidTr="00DC1192">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7CDE3CB1" w14:textId="77777777" w:rsidR="001D7591" w:rsidRDefault="001D7591"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74CB3E92" w14:textId="77777777"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7FE0F9B"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p>
          <w:p w14:paraId="0911C13C" w14:textId="5B09AD5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092EBD91"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podkriterij ili vrijednost pojedinog kriterija) je izmijenjen ili dodan tijekom ocjene ponude što je dovelo do rezultata koji se razlikuju od onih koji bi nastali da se koristio prvotni kriterij za odabir ponude objavljen u </w:t>
            </w:r>
            <w:r>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612B21F1" w14:textId="77777777" w:rsidR="001D7591" w:rsidRPr="00CE753A" w:rsidRDefault="001D7591" w:rsidP="0059240E">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tijekom ocjenjivanja naručitelj primjenjuje podkriterije (za metodologiju procjene) koji se ne odnose na kriterije za odabir ponude navedene u pozivu na nadmetanje/ dokumentaciji o nabavi;</w:t>
            </w:r>
          </w:p>
          <w:p w14:paraId="07B0443F" w14:textId="6D9865E9" w:rsidR="001D7591" w:rsidRPr="00CE753A"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tijekom ocjenjivanja naručitelj primjenjuje podkriterije koji se odnose na naknadna pojašnjenja kriterija za odabir ponude koja nisu bila uključena kao dio poziva na nadmetanje / dokumentaciji o nabavi.</w:t>
            </w:r>
          </w:p>
          <w:p w14:paraId="342C5303" w14:textId="25482905" w:rsidR="001D7591" w:rsidRPr="0059240E" w:rsidRDefault="001D7591" w:rsidP="003B4D0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left w:val="single" w:sz="4" w:space="0" w:color="auto"/>
              <w:bottom w:val="single" w:sz="4" w:space="0" w:color="auto"/>
              <w:right w:val="single" w:sz="4" w:space="0" w:color="auto"/>
            </w:tcBorders>
          </w:tcPr>
          <w:p w14:paraId="23796A31" w14:textId="66A432AD" w:rsidR="001D7591" w:rsidRPr="00CE753A" w:rsidDel="00667204" w:rsidRDefault="001D7591" w:rsidP="00A13074">
            <w:pPr>
              <w:spacing w:before="0" w:after="0"/>
              <w:jc w:val="both"/>
              <w:rPr>
                <w:rFonts w:ascii="Times New Roman" w:eastAsia="Calibri" w:hAnsi="Times New Roman" w:cs="Times New Roman"/>
                <w:sz w:val="20"/>
                <w:szCs w:val="20"/>
              </w:rPr>
            </w:pPr>
          </w:p>
        </w:tc>
      </w:tr>
      <w:tr w:rsidR="00FC52CB" w:rsidRPr="00DC1AD5" w14:paraId="5EF480DC" w14:textId="77777777" w:rsidTr="002C6F65">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5FBDD610" w14:textId="5C5A745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7</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5755C04"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FC52CB" w:rsidRPr="00CE753A" w:rsidRDefault="00FC52CB"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89673DF"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430271CD"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FD498F1"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ili                                                                                                   </w:t>
            </w:r>
          </w:p>
          <w:p w14:paraId="0E44B46F" w14:textId="29FC3CBB"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0634ACF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FC52CB" w:rsidRPr="00CE753A" w:rsidRDefault="00FC52CB" w:rsidP="00A13074">
            <w:pPr>
              <w:spacing w:before="0" w:after="0"/>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A9A5F4B" w14:textId="6455E797" w:rsidR="00FC52CB" w:rsidRDefault="00FC52CB" w:rsidP="00A13074">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4EA27102" w14:textId="644AC30B" w:rsidR="0059240E" w:rsidRDefault="0059240E" w:rsidP="00A13074">
            <w:pPr>
              <w:spacing w:before="0" w:after="0"/>
              <w:jc w:val="both"/>
              <w:rPr>
                <w:rFonts w:ascii="Times New Roman" w:eastAsia="Calibri" w:hAnsi="Times New Roman" w:cs="Times New Roman"/>
                <w:sz w:val="20"/>
                <w:szCs w:val="20"/>
              </w:rPr>
            </w:pPr>
          </w:p>
          <w:p w14:paraId="23296154" w14:textId="3348F984" w:rsidR="0059240E" w:rsidRPr="009F5860"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Ispravak se može smanjiti na 10% ili 5% od ugovorenog iznosa, ovisno o ozbiljnosti nepravilnosti</w:t>
            </w:r>
          </w:p>
          <w:p w14:paraId="4A0C8FC6" w14:textId="4890AD37" w:rsidR="00FC52CB" w:rsidRPr="00CE753A" w:rsidRDefault="00FC52CB" w:rsidP="00433D7E">
            <w:pPr>
              <w:spacing w:before="0" w:after="160" w:line="259" w:lineRule="auto"/>
              <w:jc w:val="both"/>
              <w:rPr>
                <w:rFonts w:ascii="Times New Roman" w:eastAsia="Calibri" w:hAnsi="Times New Roman" w:cs="Times New Roman"/>
                <w:sz w:val="20"/>
                <w:szCs w:val="20"/>
              </w:rPr>
            </w:pPr>
          </w:p>
        </w:tc>
      </w:tr>
      <w:tr w:rsidR="00FC52CB" w:rsidRPr="00DC1AD5" w14:paraId="75DE1D06"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0C98EA46" w14:textId="20A20D68" w:rsidR="00FC52CB"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lastRenderedPageBreak/>
              <w:t>18</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16045B6" w14:textId="51DE8A3D" w:rsidR="00FC52CB" w:rsidRPr="009F5860" w:rsidRDefault="00FC52CB"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66577557"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0B85AA59" w14:textId="6C9F32A1"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pregovaračkom postupku s prethodnom objavom poziva na nadmetanje, početni uvjeti ugovora znatno su izmijenjeni, čime se opravdava objava novog nadmetanja</w:t>
            </w:r>
          </w:p>
          <w:p w14:paraId="69F91DA2"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77B33139"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455F3F7E" w14:textId="21134118" w:rsidR="00FC52CB" w:rsidRPr="009F5860" w:rsidRDefault="00FC52CB" w:rsidP="007E123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E29D40F" w14:textId="40158818" w:rsidR="00FC52CB" w:rsidRPr="009F5860" w:rsidRDefault="00FC52CB" w:rsidP="00681267">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28B37630" w14:textId="77777777" w:rsidR="0059240E" w:rsidRDefault="0059240E" w:rsidP="00681267">
            <w:pPr>
              <w:spacing w:before="0" w:after="0"/>
              <w:jc w:val="both"/>
              <w:rPr>
                <w:rFonts w:ascii="Times New Roman" w:eastAsia="Calibri" w:hAnsi="Times New Roman" w:cs="Times New Roman"/>
                <w:sz w:val="20"/>
                <w:szCs w:val="20"/>
              </w:rPr>
            </w:pPr>
          </w:p>
          <w:p w14:paraId="72139F95" w14:textId="54D0A6E1" w:rsidR="00FC52CB" w:rsidRPr="009F5860" w:rsidRDefault="0059240E" w:rsidP="00681267">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Ispravak se može smanjiti na 10% ili 5% od ugovorenog iznosa, ovisno o ozbiljnosti nepravilnosti</w:t>
            </w:r>
          </w:p>
        </w:tc>
      </w:tr>
      <w:tr w:rsidR="00FC52CB" w:rsidRPr="00DC1AD5" w14:paraId="743448C9"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44D1F27C" w14:textId="639EDAEE" w:rsidR="00FC52CB" w:rsidRPr="008F691C"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19</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455067F2" w14:textId="10C44AB9" w:rsidR="00FC52CB" w:rsidRPr="00DC1AD5" w:rsidRDefault="00FC52CB"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0359F174"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D7CEAD4" w14:textId="12638478"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1D696D21"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18CA5F9"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36E0D2D"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C62880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0035A572"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8B09425" w14:textId="77777777" w:rsidR="00FC52CB" w:rsidRPr="009F5860"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9301220" w14:textId="618E9909" w:rsidR="00FC52CB" w:rsidRPr="009F5860"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FC52CB" w:rsidRPr="009F5860">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w:t>
            </w:r>
            <w:r w:rsidR="0006691C">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ovisno o ozbiljnosti nepravilnosti </w:t>
            </w:r>
          </w:p>
        </w:tc>
      </w:tr>
      <w:tr w:rsidR="0059240E" w:rsidRPr="00DC1AD5" w14:paraId="765C6155" w14:textId="77777777" w:rsidTr="00366843">
        <w:trPr>
          <w:trHeight w:val="1958"/>
        </w:trPr>
        <w:tc>
          <w:tcPr>
            <w:tcW w:w="254" w:type="pct"/>
            <w:vMerge w:val="restart"/>
            <w:tcBorders>
              <w:top w:val="single" w:sz="4" w:space="0" w:color="auto"/>
              <w:left w:val="single" w:sz="4" w:space="0" w:color="auto"/>
              <w:right w:val="single" w:sz="4" w:space="0" w:color="auto"/>
            </w:tcBorders>
            <w:vAlign w:val="center"/>
            <w:hideMark/>
          </w:tcPr>
          <w:p w14:paraId="02800FB7" w14:textId="3691DA78" w:rsidR="0059240E" w:rsidRPr="008F691C" w:rsidRDefault="0059240E"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09C2ECF" w14:textId="36F6D2B2"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59240E" w:rsidRPr="00AF72C1"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625EC1C3"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1EF0E57F" w14:textId="69CD4E13"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819B9A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26E3099F" w14:textId="77777777" w:rsidR="0059240E" w:rsidRPr="00D447D4"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right w:val="single" w:sz="4" w:space="0" w:color="auto"/>
            </w:tcBorders>
            <w:hideMark/>
          </w:tcPr>
          <w:p w14:paraId="793CDA71" w14:textId="4B0374FA"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433D7E">
              <w:rPr>
                <w:rFonts w:ascii="Times New Roman" w:eastAsia="Calibri" w:hAnsi="Times New Roman" w:cs="Times New Roman"/>
                <w:sz w:val="20"/>
                <w:szCs w:val="20"/>
              </w:rPr>
              <w:t xml:space="preserve">% od ugovorenog iznosa </w:t>
            </w:r>
          </w:p>
          <w:p w14:paraId="21C75032" w14:textId="1476EC29" w:rsidR="0059240E" w:rsidRPr="00D447D4" w:rsidRDefault="0059240E" w:rsidP="00A13074">
            <w:pPr>
              <w:spacing w:before="0" w:after="0"/>
              <w:jc w:val="both"/>
              <w:rPr>
                <w:rFonts w:ascii="Times New Roman" w:eastAsia="Calibri" w:hAnsi="Times New Roman" w:cs="Times New Roman"/>
                <w:sz w:val="20"/>
                <w:szCs w:val="20"/>
              </w:rPr>
            </w:pPr>
          </w:p>
        </w:tc>
      </w:tr>
      <w:tr w:rsidR="0059240E" w:rsidRPr="00DC1AD5" w14:paraId="31976C48" w14:textId="77777777" w:rsidTr="0059240E">
        <w:trPr>
          <w:trHeight w:val="1480"/>
        </w:trPr>
        <w:tc>
          <w:tcPr>
            <w:tcW w:w="254" w:type="pct"/>
            <w:vMerge/>
            <w:tcBorders>
              <w:top w:val="single" w:sz="4" w:space="0" w:color="auto"/>
              <w:left w:val="single" w:sz="4" w:space="0" w:color="auto"/>
              <w:right w:val="single" w:sz="4" w:space="0" w:color="auto"/>
            </w:tcBorders>
            <w:vAlign w:val="center"/>
          </w:tcPr>
          <w:p w14:paraId="335AFD40"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44B24AA7" w14:textId="77777777"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B37EF8"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621ACD61"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3945E18C" w14:textId="77777777" w:rsidR="0059240E" w:rsidRPr="00433D7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06E6D0AC" w14:textId="77777777" w:rsidR="0059240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FE00E74" w14:textId="6099B3E0"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59240E">
              <w:rPr>
                <w:rFonts w:ascii="Times New Roman" w:eastAsia="Calibri" w:hAnsi="Times New Roman" w:cs="Times New Roman"/>
                <w:sz w:val="20"/>
                <w:szCs w:val="20"/>
              </w:rPr>
              <w:t>% od ugovorenog iznosa</w:t>
            </w:r>
          </w:p>
        </w:tc>
      </w:tr>
      <w:tr w:rsidR="0059240E" w:rsidRPr="00DC1AD5" w14:paraId="61573AE7" w14:textId="77777777" w:rsidTr="00366843">
        <w:trPr>
          <w:trHeight w:val="4000"/>
        </w:trPr>
        <w:tc>
          <w:tcPr>
            <w:tcW w:w="254" w:type="pct"/>
            <w:vMerge/>
            <w:tcBorders>
              <w:left w:val="single" w:sz="4" w:space="0" w:color="auto"/>
              <w:right w:val="single" w:sz="4" w:space="0" w:color="auto"/>
            </w:tcBorders>
            <w:vAlign w:val="center"/>
          </w:tcPr>
          <w:p w14:paraId="708DFB6B"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F33C33" w14:textId="77777777" w:rsidR="0059240E" w:rsidRPr="00433D7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right w:val="single" w:sz="4" w:space="0" w:color="auto"/>
            </w:tcBorders>
          </w:tcPr>
          <w:p w14:paraId="3B591B9D" w14:textId="1DAC5AD3" w:rsidR="0059240E" w:rsidRPr="00433D7E" w:rsidRDefault="0059240E"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4AFC9799" w14:textId="77777777" w:rsidR="0059240E" w:rsidRPr="001439A7" w:rsidRDefault="0059240E"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64851A85" w14:textId="580E6956" w:rsidR="0059240E" w:rsidRPr="00433D7E" w:rsidRDefault="0059240E" w:rsidP="0059240E">
            <w:pPr>
              <w:spacing w:before="0" w:after="0"/>
              <w:jc w:val="both"/>
              <w:rPr>
                <w:rFonts w:ascii="Times New Roman" w:eastAsia="Calibri" w:hAnsi="Times New Roman" w:cs="Times New Roman"/>
                <w:sz w:val="20"/>
                <w:szCs w:val="20"/>
                <w:highlight w:val="yellow"/>
              </w:rPr>
            </w:pPr>
          </w:p>
        </w:tc>
      </w:tr>
      <w:tr w:rsidR="00FC52CB" w:rsidRPr="00DC1AD5" w14:paraId="2BB0892C" w14:textId="5750948F" w:rsidTr="002C6F65">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72C70" w14:textId="611427ED" w:rsidR="00FC52CB" w:rsidRPr="009F5860" w:rsidDel="00681267" w:rsidRDefault="00FC52CB"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1D7591" w:rsidRPr="00DC1AD5" w14:paraId="1282C6D0" w14:textId="77777777" w:rsidTr="00DC1192">
        <w:tc>
          <w:tcPr>
            <w:tcW w:w="254" w:type="pct"/>
            <w:vMerge w:val="restart"/>
            <w:tcBorders>
              <w:top w:val="single" w:sz="4" w:space="0" w:color="auto"/>
              <w:left w:val="single" w:sz="4" w:space="0" w:color="auto"/>
              <w:right w:val="single" w:sz="4" w:space="0" w:color="auto"/>
            </w:tcBorders>
            <w:vAlign w:val="center"/>
          </w:tcPr>
          <w:p w14:paraId="121DA01A" w14:textId="33E893FC"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083AE"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FootnoteReference"/>
                <w:rFonts w:ascii="Times New Roman" w:eastAsia="Calibri" w:hAnsi="Times New Roman" w:cs="Times New Roman"/>
                <w:sz w:val="20"/>
                <w:szCs w:val="20"/>
              </w:rPr>
              <w:footnoteReference w:id="10"/>
            </w:r>
          </w:p>
          <w:p w14:paraId="28087B49"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se smatra značajnom ako </w:t>
            </w:r>
            <w:r w:rsidRPr="00AD39EC">
              <w:rPr>
                <w:rFonts w:ascii="Times New Roman" w:eastAsia="Calibri" w:hAnsi="Times New Roman" w:cs="Times New Roman"/>
                <w:sz w:val="20"/>
                <w:szCs w:val="20"/>
                <w:vertAlign w:val="superscript"/>
              </w:rPr>
              <w:footnoteReference w:id="11"/>
            </w:r>
            <w:r w:rsidRPr="00AD39EC">
              <w:rPr>
                <w:rFonts w:ascii="Times New Roman" w:eastAsia="Calibri" w:hAnsi="Times New Roman" w:cs="Times New Roman"/>
                <w:sz w:val="20"/>
                <w:szCs w:val="20"/>
              </w:rPr>
              <w:t>:</w:t>
            </w:r>
          </w:p>
          <w:p w14:paraId="686E6786"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naručitelj izmjenom unosi uvjete, koji da su bili dio prvotnog postupka  javne nabave, bi omogućili uključivanje drugih </w:t>
            </w:r>
            <w:r w:rsidRPr="00AD39EC">
              <w:rPr>
                <w:rFonts w:ascii="Times New Roman" w:eastAsia="Calibri" w:hAnsi="Times New Roman" w:cs="Times New Roman"/>
                <w:sz w:val="20"/>
                <w:szCs w:val="20"/>
              </w:rPr>
              <w:lastRenderedPageBreak/>
              <w:t>ponuditelja različitih od onih koji su prvotno odabrani,</w:t>
            </w:r>
          </w:p>
          <w:p w14:paraId="6E866EDF"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 i</w:t>
            </w:r>
            <w:r w:rsidRPr="00AD39EC" w:rsidDel="009F5860">
              <w:rPr>
                <w:rFonts w:ascii="Times New Roman" w:eastAsia="Calibri" w:hAnsi="Times New Roman" w:cs="Times New Roman"/>
                <w:sz w:val="20"/>
                <w:szCs w:val="20"/>
              </w:rPr>
              <w:t>z</w:t>
            </w:r>
            <w:r w:rsidRPr="00AD39EC">
              <w:rPr>
                <w:rFonts w:ascii="Times New Roman" w:eastAsia="Calibri" w:hAnsi="Times New Roman" w:cs="Times New Roman"/>
                <w:sz w:val="20"/>
                <w:szCs w:val="20"/>
              </w:rPr>
              <w:t>mjene mijenjaju ekonomsku ravnotežu u korist ugovaratelja na način koji nije predviđen prvotnim ugovorom.</w:t>
            </w:r>
          </w:p>
        </w:tc>
        <w:tc>
          <w:tcPr>
            <w:tcW w:w="2502" w:type="pct"/>
            <w:tcBorders>
              <w:top w:val="single" w:sz="4" w:space="0" w:color="auto"/>
              <w:left w:val="single" w:sz="4" w:space="0" w:color="auto"/>
              <w:bottom w:val="single" w:sz="4" w:space="0" w:color="auto"/>
              <w:right w:val="single" w:sz="4" w:space="0" w:color="auto"/>
            </w:tcBorders>
          </w:tcPr>
          <w:p w14:paraId="5FF8FE18" w14:textId="279F0536" w:rsidR="001D7591" w:rsidRPr="00AD39EC" w:rsidRDefault="001D7591">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DC7A5D0" w14:textId="77777777" w:rsidR="001D7591" w:rsidRPr="00460D22" w:rsidDel="000C3E31" w:rsidRDefault="001D7591" w:rsidP="00E32A95">
            <w:pPr>
              <w:spacing w:before="0" w:after="0"/>
              <w:jc w:val="both"/>
              <w:rPr>
                <w:rFonts w:ascii="Times New Roman" w:eastAsia="Calibri" w:hAnsi="Times New Roman" w:cs="Times New Roman"/>
                <w:sz w:val="20"/>
                <w:szCs w:val="20"/>
              </w:rPr>
            </w:pPr>
            <w:r w:rsidRPr="00460D22" w:rsidDel="000C3E31">
              <w:rPr>
                <w:rFonts w:ascii="Times New Roman" w:eastAsia="Calibri" w:hAnsi="Times New Roman" w:cs="Times New Roman"/>
                <w:sz w:val="20"/>
                <w:szCs w:val="20"/>
              </w:rPr>
              <w:t xml:space="preserve">25% </w:t>
            </w:r>
          </w:p>
          <w:p w14:paraId="6E38C24C" w14:textId="1BE1E9DB" w:rsidR="001D7591" w:rsidRPr="009F5860" w:rsidRDefault="001D7591" w:rsidP="00A13074">
            <w:pPr>
              <w:spacing w:before="0" w:after="0"/>
              <w:jc w:val="both"/>
              <w:rPr>
                <w:rFonts w:ascii="Times New Roman" w:eastAsia="Calibri" w:hAnsi="Times New Roman" w:cs="Times New Roman"/>
                <w:sz w:val="20"/>
                <w:szCs w:val="20"/>
              </w:rPr>
            </w:pPr>
            <w:r w:rsidRPr="00460D22" w:rsidDel="00977C92">
              <w:rPr>
                <w:rFonts w:ascii="Times New Roman" w:eastAsia="Calibri" w:hAnsi="Times New Roman" w:cs="Times New Roman"/>
                <w:sz w:val="20"/>
                <w:szCs w:val="20"/>
              </w:rPr>
              <w:t>od iznosa inicijalnog ugovora i vrijednosti dodatnog iznosa ugovora proizašlog iz izmjene elemenata ugovora</w:t>
            </w:r>
          </w:p>
        </w:tc>
      </w:tr>
      <w:tr w:rsidR="001D7591" w:rsidRPr="00DC1AD5" w14:paraId="174D426E" w14:textId="77777777" w:rsidTr="00DC1192">
        <w:tc>
          <w:tcPr>
            <w:tcW w:w="254" w:type="pct"/>
            <w:vMerge/>
            <w:tcBorders>
              <w:left w:val="single" w:sz="4" w:space="0" w:color="auto"/>
              <w:bottom w:val="single" w:sz="4" w:space="0" w:color="auto"/>
              <w:right w:val="single" w:sz="4" w:space="0" w:color="auto"/>
            </w:tcBorders>
            <w:vAlign w:val="center"/>
          </w:tcPr>
          <w:p w14:paraId="62B9EA75" w14:textId="6DC96CD3" w:rsidR="001D7591" w:rsidRPr="008F691C" w:rsidRDefault="001D7591"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648251" w14:textId="77777777" w:rsidR="001D7591" w:rsidRPr="004A1FDC" w:rsidRDefault="001D7591"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5CA4EB5A"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ugovora o javnoj nabavi tijekom njegova trajanja smatra se značajnom ako njome ugovor postaje značajno različit po svojoj naravi od prvotno zaključenog.</w:t>
            </w:r>
          </w:p>
          <w:p w14:paraId="0B174160"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se u svakom slučaju smatra značajnom ako je ispunjen jedan ili više sljedećih uvjeta:</w:t>
            </w:r>
          </w:p>
          <w:p w14:paraId="0518469A"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0F59427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6E576B67"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lastRenderedPageBreak/>
              <w:t>2. izmjenom se mijenja ekonomska ravnoteža ugovora u korist ugovaratelja na način koji nije predviđen prvotnim ugovorom</w:t>
            </w:r>
          </w:p>
          <w:p w14:paraId="2AC033A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2A8A2A11"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3. izmjenom se značajno povećava opseg ugovora</w:t>
            </w:r>
          </w:p>
          <w:p w14:paraId="117CA1F3"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57E821E9" w14:textId="44D53DAA" w:rsidR="001D7591" w:rsidRPr="00460D22"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F69C23B" w14:textId="28B32AE7" w:rsidR="001D7591" w:rsidRPr="00460D22" w:rsidRDefault="001D7591" w:rsidP="00E32A95">
            <w:pPr>
              <w:spacing w:before="0" w:after="0"/>
              <w:jc w:val="both"/>
              <w:rPr>
                <w:rFonts w:ascii="Times New Roman" w:eastAsia="Calibri" w:hAnsi="Times New Roman" w:cs="Times New Roman"/>
                <w:sz w:val="20"/>
                <w:szCs w:val="20"/>
              </w:rPr>
            </w:pPr>
          </w:p>
        </w:tc>
      </w:tr>
      <w:tr w:rsidR="00FC52CB" w:rsidRPr="00DC1AD5" w14:paraId="5CA87A5F" w14:textId="77777777" w:rsidTr="002C6F65">
        <w:tc>
          <w:tcPr>
            <w:tcW w:w="254" w:type="pct"/>
            <w:tcBorders>
              <w:top w:val="single" w:sz="4" w:space="0" w:color="auto"/>
              <w:left w:val="single" w:sz="4" w:space="0" w:color="auto"/>
              <w:bottom w:val="single" w:sz="4" w:space="0" w:color="auto"/>
              <w:right w:val="single" w:sz="4" w:space="0" w:color="auto"/>
            </w:tcBorders>
            <w:vAlign w:val="center"/>
          </w:tcPr>
          <w:p w14:paraId="2AA768A1" w14:textId="7C81A9B8" w:rsidR="00FC52CB" w:rsidRPr="008F691C" w:rsidRDefault="00FC52CB"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2B25D8">
              <w:rPr>
                <w:rFonts w:ascii="Times New Roman" w:eastAsia="Calibri" w:hAnsi="Times New Roman" w:cs="Times New Roman"/>
                <w:sz w:val="16"/>
                <w:szCs w:val="16"/>
              </w:rPr>
              <w:t>2</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7365B1D7" w14:textId="6CB34F8C" w:rsidR="00FC52CB" w:rsidRPr="00DC1AD5"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1F647EA4" w14:textId="1558F4D4" w:rsidR="00FC52CB" w:rsidRPr="00DC1AD5" w:rsidRDefault="008C3D84"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Ra</w:t>
            </w:r>
            <w:r w:rsidR="002E3932">
              <w:rPr>
                <w:rFonts w:ascii="Times New Roman" w:eastAsia="Calibri" w:hAnsi="Times New Roman" w:cs="Times New Roman"/>
                <w:sz w:val="20"/>
                <w:szCs w:val="20"/>
              </w:rPr>
              <w:t>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6D5B2507" w14:textId="78C135BC" w:rsidR="00FC52CB" w:rsidRPr="00DC1AD5" w:rsidRDefault="00FC52CB" w:rsidP="00A13074">
            <w:pPr>
              <w:spacing w:before="0" w:after="0"/>
              <w:contextualSpacing/>
              <w:jc w:val="both"/>
              <w:rPr>
                <w:rFonts w:ascii="Times New Roman" w:eastAsia="Times New Roman" w:hAnsi="Times New Roman" w:cs="Times New Roman"/>
                <w:sz w:val="20"/>
                <w:szCs w:val="20"/>
                <w:lang w:eastAsia="hr-HR"/>
              </w:rPr>
            </w:pPr>
            <w:r w:rsidRPr="00DC1AD5" w:rsidDel="00EB0F30">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w:t>
            </w:r>
            <w:r w:rsidR="002E3932">
              <w:rPr>
                <w:rFonts w:ascii="Times New Roman" w:eastAsia="Times New Roman" w:hAnsi="Times New Roman" w:cs="Times New Roman"/>
                <w:sz w:val="20"/>
                <w:szCs w:val="20"/>
                <w:lang w:eastAsia="hr-HR"/>
              </w:rPr>
              <w:t xml:space="preserve"> odrediti i to samo u  slučajevima kada se radi o troškovima koji su prethodno certificirani</w:t>
            </w:r>
            <w:r w:rsidR="00F07DD0">
              <w:rPr>
                <w:rFonts w:ascii="Times New Roman" w:eastAsia="Times New Roman" w:hAnsi="Times New Roman" w:cs="Times New Roman"/>
                <w:sz w:val="20"/>
                <w:szCs w:val="20"/>
                <w:lang w:eastAsia="hr-HR"/>
              </w:rPr>
              <w:t>.</w:t>
            </w:r>
          </w:p>
        </w:tc>
      </w:tr>
      <w:tr w:rsidR="00FC52CB" w:rsidRPr="00DC1AD5" w14:paraId="3C0D1251" w14:textId="77777777" w:rsidTr="002C6F65">
        <w:trPr>
          <w:trHeight w:val="6171"/>
        </w:trPr>
        <w:tc>
          <w:tcPr>
            <w:tcW w:w="254" w:type="pct"/>
            <w:tcBorders>
              <w:top w:val="single" w:sz="4" w:space="0" w:color="auto"/>
              <w:left w:val="single" w:sz="4" w:space="0" w:color="auto"/>
              <w:right w:val="single" w:sz="4" w:space="0" w:color="auto"/>
            </w:tcBorders>
            <w:vAlign w:val="center"/>
          </w:tcPr>
          <w:p w14:paraId="7EEF745A" w14:textId="28913D72" w:rsidR="00FC52CB" w:rsidRDefault="00FC52CB" w:rsidP="007105C6">
            <w:pPr>
              <w:spacing w:before="0" w:after="0"/>
              <w:jc w:val="center"/>
              <w:rPr>
                <w:rFonts w:ascii="Times New Roman" w:eastAsia="Calibri" w:hAnsi="Times New Roman" w:cs="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434FA9E4" w14:textId="66EEFA48" w:rsidR="00FC52CB" w:rsidRPr="00DC1AD5" w:rsidRDefault="00FC52CB" w:rsidP="007105C6">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23559C8" w14:textId="77777777" w:rsidR="00FC52CB" w:rsidRPr="00DC1AD5" w:rsidRDefault="00FC52CB" w:rsidP="007105C6">
            <w:pPr>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3C23236" w14:textId="77777777" w:rsidR="00FC52CB" w:rsidRPr="00DC1AD5" w:rsidRDefault="00FC52CB"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77777777" w:rsidR="008F18A3" w:rsidRPr="00DC1AD5" w:rsidRDefault="008F18A3" w:rsidP="00FB2E29">
      <w:pPr>
        <w:spacing w:before="0" w:after="0"/>
        <w:contextualSpacing/>
        <w:rPr>
          <w:rFonts w:ascii="Times New Roman" w:eastAsia="Calibri" w:hAnsi="Times New Roman" w:cs="Times New Roman"/>
          <w:sz w:val="20"/>
          <w:szCs w:val="20"/>
        </w:rPr>
      </w:pPr>
    </w:p>
    <w:p w14:paraId="1DD1E309" w14:textId="77777777" w:rsidR="00783487" w:rsidRDefault="00783487" w:rsidP="00783487">
      <w:pPr>
        <w:spacing w:before="0" w:after="0"/>
        <w:contextualSpacing/>
        <w:jc w:val="both"/>
        <w:rPr>
          <w:rFonts w:ascii="Times New Roman" w:eastAsia="Calibri" w:hAnsi="Times New Roman" w:cs="Times New Roman"/>
          <w:sz w:val="20"/>
          <w:szCs w:val="20"/>
        </w:rPr>
      </w:pPr>
    </w:p>
    <w:p w14:paraId="4E1ED386" w14:textId="77777777" w:rsidR="00136817" w:rsidRDefault="00136817" w:rsidP="00783487">
      <w:pPr>
        <w:spacing w:before="0" w:after="0"/>
        <w:contextualSpacing/>
        <w:jc w:val="both"/>
        <w:rPr>
          <w:rFonts w:ascii="Times New Roman" w:eastAsia="Calibri" w:hAnsi="Times New Roman" w:cs="Times New Roman"/>
          <w:sz w:val="20"/>
          <w:szCs w:val="20"/>
        </w:rPr>
      </w:pPr>
    </w:p>
    <w:p w14:paraId="0FA5AD33" w14:textId="77777777" w:rsidR="00136817" w:rsidRDefault="00136817" w:rsidP="00783487">
      <w:pPr>
        <w:spacing w:before="0" w:after="0"/>
        <w:contextualSpacing/>
        <w:jc w:val="both"/>
        <w:rPr>
          <w:rFonts w:ascii="Times New Roman" w:eastAsia="Calibri" w:hAnsi="Times New Roman" w:cs="Times New Roman"/>
          <w:sz w:val="20"/>
          <w:szCs w:val="20"/>
        </w:rPr>
      </w:pPr>
    </w:p>
    <w:p w14:paraId="61F2381F" w14:textId="77777777" w:rsidR="00136817" w:rsidRDefault="00136817" w:rsidP="00783487">
      <w:pPr>
        <w:spacing w:before="0" w:after="0"/>
        <w:contextualSpacing/>
        <w:jc w:val="both"/>
        <w:rPr>
          <w:rFonts w:ascii="Times New Roman" w:eastAsia="Calibri" w:hAnsi="Times New Roman" w:cs="Times New Roman"/>
          <w:sz w:val="20"/>
          <w:szCs w:val="20"/>
        </w:rPr>
      </w:pPr>
    </w:p>
    <w:p w14:paraId="245FD8C0" w14:textId="77777777" w:rsidR="00136817" w:rsidRDefault="00136817" w:rsidP="00783487">
      <w:pPr>
        <w:spacing w:before="0" w:after="0"/>
        <w:contextualSpacing/>
        <w:jc w:val="both"/>
        <w:rPr>
          <w:rFonts w:ascii="Times New Roman" w:eastAsia="Calibri" w:hAnsi="Times New Roman" w:cs="Times New Roman"/>
          <w:sz w:val="20"/>
          <w:szCs w:val="20"/>
        </w:rPr>
      </w:pPr>
    </w:p>
    <w:p w14:paraId="0C0B0F47" w14:textId="77777777" w:rsidR="00136817" w:rsidRDefault="00136817" w:rsidP="00783487">
      <w:pPr>
        <w:spacing w:before="0" w:after="0"/>
        <w:contextualSpacing/>
        <w:jc w:val="both"/>
        <w:rPr>
          <w:rFonts w:ascii="Times New Roman" w:eastAsia="Calibri" w:hAnsi="Times New Roman" w:cs="Times New Roman"/>
          <w:sz w:val="20"/>
          <w:szCs w:val="20"/>
        </w:rPr>
      </w:pPr>
    </w:p>
    <w:p w14:paraId="1F55BBE3" w14:textId="77777777" w:rsidR="00136817" w:rsidRDefault="00136817" w:rsidP="00783487">
      <w:pPr>
        <w:spacing w:before="0" w:after="0"/>
        <w:contextualSpacing/>
        <w:jc w:val="both"/>
        <w:rPr>
          <w:rFonts w:ascii="Times New Roman" w:eastAsia="Calibri" w:hAnsi="Times New Roman" w:cs="Times New Roman"/>
          <w:sz w:val="20"/>
          <w:szCs w:val="20"/>
        </w:rPr>
      </w:pPr>
    </w:p>
    <w:p w14:paraId="3715A392" w14:textId="77777777" w:rsidR="00136817" w:rsidRDefault="00136817" w:rsidP="00783487">
      <w:pPr>
        <w:spacing w:before="0" w:after="0"/>
        <w:contextualSpacing/>
        <w:jc w:val="both"/>
        <w:rPr>
          <w:rFonts w:ascii="Times New Roman" w:eastAsia="Calibri" w:hAnsi="Times New Roman" w:cs="Times New Roman"/>
          <w:sz w:val="20"/>
          <w:szCs w:val="20"/>
        </w:rPr>
      </w:pPr>
    </w:p>
    <w:p w14:paraId="5430E30B" w14:textId="77777777" w:rsidR="00136817" w:rsidRDefault="00136817" w:rsidP="00783487">
      <w:pPr>
        <w:spacing w:before="0" w:after="0"/>
        <w:contextualSpacing/>
        <w:jc w:val="both"/>
        <w:rPr>
          <w:rFonts w:ascii="Times New Roman" w:eastAsia="Calibri" w:hAnsi="Times New Roman" w:cs="Times New Roman"/>
          <w:sz w:val="20"/>
          <w:szCs w:val="20"/>
        </w:rPr>
      </w:pPr>
    </w:p>
    <w:p w14:paraId="7282F004" w14:textId="77777777" w:rsidR="00136817" w:rsidRDefault="00136817" w:rsidP="00783487">
      <w:pPr>
        <w:spacing w:before="0" w:after="0"/>
        <w:contextualSpacing/>
        <w:jc w:val="both"/>
        <w:rPr>
          <w:rFonts w:ascii="Times New Roman" w:eastAsia="Calibri" w:hAnsi="Times New Roman" w:cs="Times New Roman"/>
          <w:sz w:val="20"/>
          <w:szCs w:val="20"/>
        </w:rPr>
      </w:pPr>
    </w:p>
    <w:p w14:paraId="243EAD2F" w14:textId="77777777" w:rsidR="00136817" w:rsidRDefault="00136817" w:rsidP="00783487">
      <w:pPr>
        <w:spacing w:before="0" w:after="0"/>
        <w:contextualSpacing/>
        <w:jc w:val="both"/>
        <w:rPr>
          <w:rFonts w:ascii="Times New Roman" w:eastAsia="Calibri" w:hAnsi="Times New Roman" w:cs="Times New Roman"/>
          <w:sz w:val="20"/>
          <w:szCs w:val="20"/>
        </w:rPr>
      </w:pPr>
    </w:p>
    <w:p w14:paraId="31D79B33" w14:textId="77777777" w:rsidR="00136817" w:rsidRPr="00C93169" w:rsidRDefault="00136817" w:rsidP="00783487">
      <w:pPr>
        <w:spacing w:before="0" w:after="0"/>
        <w:contextualSpacing/>
        <w:jc w:val="both"/>
        <w:rPr>
          <w:rFonts w:ascii="Times New Roman" w:eastAsia="Calibri" w:hAnsi="Times New Roman" w:cs="Times New Roman"/>
          <w:sz w:val="20"/>
          <w:szCs w:val="20"/>
        </w:rPr>
      </w:pPr>
    </w:p>
    <w:tbl>
      <w:tblPr>
        <w:tblStyle w:val="TableGrid"/>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620D19" w:rsidRPr="00DC1AD5" w14:paraId="125359FB" w14:textId="77777777" w:rsidTr="00D40619">
        <w:trPr>
          <w:trHeight w:val="2495"/>
        </w:trPr>
        <w:tc>
          <w:tcPr>
            <w:tcW w:w="9781" w:type="dxa"/>
            <w:gridSpan w:val="4"/>
            <w:tcBorders>
              <w:top w:val="nil"/>
              <w:left w:val="nil"/>
              <w:bottom w:val="single" w:sz="4" w:space="0" w:color="auto"/>
              <w:right w:val="nil"/>
            </w:tcBorders>
          </w:tcPr>
          <w:p w14:paraId="497F64E1" w14:textId="77777777" w:rsidR="00620D19" w:rsidRDefault="00620D19" w:rsidP="00D40619">
            <w:pPr>
              <w:spacing w:after="240"/>
              <w:rPr>
                <w:rFonts w:ascii="Times New Roman" w:hAnsi="Times New Roman"/>
                <w:b/>
              </w:rPr>
            </w:pPr>
          </w:p>
          <w:p w14:paraId="374DF8D6" w14:textId="77777777" w:rsidR="00620D19" w:rsidRPr="00DC1AD5" w:rsidRDefault="00620D19" w:rsidP="00D40619">
            <w:pPr>
              <w:spacing w:after="240"/>
              <w:jc w:val="center"/>
              <w:rPr>
                <w:rFonts w:ascii="Times New Roman" w:hAnsi="Times New Roman"/>
                <w:b/>
              </w:rPr>
            </w:pPr>
            <w:r w:rsidRPr="00DC1AD5">
              <w:rPr>
                <w:rFonts w:ascii="Times New Roman" w:hAnsi="Times New Roman"/>
                <w:b/>
              </w:rPr>
              <w:t>Prilog 2</w:t>
            </w:r>
          </w:p>
          <w:p w14:paraId="454FEF33" w14:textId="77777777" w:rsidR="00620D19" w:rsidRPr="00DC1AD5" w:rsidRDefault="00620D19" w:rsidP="00D40619">
            <w:pPr>
              <w:spacing w:after="240"/>
              <w:jc w:val="center"/>
              <w:rPr>
                <w:rFonts w:ascii="Times New Roman" w:hAnsi="Times New Roman"/>
                <w:b/>
              </w:rPr>
            </w:pPr>
            <w:r w:rsidRPr="00DC1AD5">
              <w:rPr>
                <w:rFonts w:ascii="Times New Roman" w:hAnsi="Times New Roman"/>
                <w:b/>
                <w:lang w:eastAsia="hr-HR"/>
              </w:rPr>
              <w:t>Nepravilnosti u kojima se određuje financijska korekcija – nabave koje provode neobveznici Zakona o javnoj nabavi</w:t>
            </w:r>
          </w:p>
          <w:p w14:paraId="26985FFB" w14:textId="77777777" w:rsidR="00620D19" w:rsidRPr="00DC1AD5" w:rsidRDefault="00620D19" w:rsidP="00D4061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2"/>
            </w:r>
            <w:r w:rsidRPr="00DC1AD5">
              <w:rPr>
                <w:rFonts w:ascii="Times New Roman" w:hAnsi="Times New Roman"/>
              </w:rPr>
              <w:t>.)</w:t>
            </w:r>
          </w:p>
          <w:p w14:paraId="3EA6DB9A" w14:textId="77777777" w:rsidR="00620D19" w:rsidRPr="00DC1AD5" w:rsidRDefault="00620D19" w:rsidP="00D40619">
            <w:pPr>
              <w:widowControl w:val="0"/>
              <w:spacing w:after="240"/>
              <w:rPr>
                <w:rFonts w:ascii="Times New Roman" w:hAnsi="Times New Roman"/>
                <w:sz w:val="20"/>
                <w:szCs w:val="20"/>
              </w:rPr>
            </w:pPr>
          </w:p>
          <w:p w14:paraId="22437E5C" w14:textId="77777777" w:rsidR="00620D19" w:rsidRPr="00DC1AD5" w:rsidRDefault="00620D19" w:rsidP="00D40619">
            <w:pPr>
              <w:widowControl w:val="0"/>
              <w:spacing w:after="240"/>
              <w:rPr>
                <w:rFonts w:ascii="Times New Roman" w:hAnsi="Times New Roman"/>
                <w:sz w:val="20"/>
                <w:szCs w:val="20"/>
              </w:rPr>
            </w:pPr>
          </w:p>
        </w:tc>
      </w:tr>
      <w:tr w:rsidR="00620D19" w:rsidRPr="00DC1AD5" w14:paraId="72EE4B1E" w14:textId="77777777" w:rsidTr="00D40619">
        <w:trPr>
          <w:trHeight w:val="692"/>
        </w:trPr>
        <w:tc>
          <w:tcPr>
            <w:tcW w:w="567" w:type="dxa"/>
            <w:tcBorders>
              <w:top w:val="single" w:sz="4" w:space="0" w:color="auto"/>
              <w:left w:val="single" w:sz="4" w:space="0" w:color="auto"/>
              <w:bottom w:val="single" w:sz="4" w:space="0" w:color="auto"/>
              <w:right w:val="single" w:sz="4" w:space="0" w:color="auto"/>
            </w:tcBorders>
          </w:tcPr>
          <w:p w14:paraId="22AF9B65" w14:textId="77777777" w:rsidR="00620D19" w:rsidRPr="00DC1AD5" w:rsidRDefault="00620D19" w:rsidP="00D4061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45E947C9"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2173B88C"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7B941F" w14:textId="77777777" w:rsidR="00620D19" w:rsidRPr="00DC1AD5" w:rsidRDefault="00620D19" w:rsidP="00D4061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620D19" w:rsidRPr="00DC1AD5" w14:paraId="7181BD31" w14:textId="77777777" w:rsidTr="00D40619">
        <w:trPr>
          <w:trHeight w:val="2495"/>
        </w:trPr>
        <w:tc>
          <w:tcPr>
            <w:tcW w:w="567" w:type="dxa"/>
            <w:tcBorders>
              <w:top w:val="single" w:sz="4" w:space="0" w:color="auto"/>
              <w:left w:val="single" w:sz="4" w:space="0" w:color="auto"/>
              <w:bottom w:val="single" w:sz="4" w:space="0" w:color="auto"/>
              <w:right w:val="single" w:sz="4" w:space="0" w:color="auto"/>
            </w:tcBorders>
            <w:hideMark/>
          </w:tcPr>
          <w:p w14:paraId="3AC4A06E" w14:textId="77777777" w:rsidR="00620D19" w:rsidRPr="00DC1AD5" w:rsidRDefault="00620D19" w:rsidP="00D4061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244B7068" w14:textId="77777777" w:rsidR="00620D19" w:rsidRPr="00DC1AD5" w:rsidRDefault="00620D19" w:rsidP="00D40619">
            <w:pPr>
              <w:spacing w:after="240"/>
              <w:jc w:val="both"/>
              <w:rPr>
                <w:rFonts w:ascii="Times New Roman" w:hAnsi="Times New Roman"/>
                <w:strike/>
                <w:sz w:val="20"/>
                <w:szCs w:val="20"/>
              </w:rPr>
            </w:pPr>
            <w:r w:rsidRPr="00DC1AD5">
              <w:rPr>
                <w:rFonts w:ascii="Times New Roman" w:hAnsi="Times New Roman"/>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7D241474" w14:textId="49F135E1" w:rsidR="00620D19" w:rsidRPr="00DC50C9" w:rsidRDefault="00620D19" w:rsidP="00D40619">
            <w:pPr>
              <w:spacing w:after="240"/>
              <w:jc w:val="both"/>
              <w:rPr>
                <w:rFonts w:ascii="Times New Roman" w:hAnsi="Times New Roman"/>
                <w:sz w:val="20"/>
                <w:szCs w:val="20"/>
                <w:highlight w:val="yellow"/>
                <w:u w:val="single"/>
              </w:rPr>
            </w:pPr>
            <w:r w:rsidRPr="00B9303D">
              <w:rPr>
                <w:rFonts w:ascii="Times New Roman" w:hAnsi="Times New Roman"/>
                <w:sz w:val="20"/>
                <w:szCs w:val="20"/>
              </w:rPr>
              <w:t xml:space="preserve">Poziv na dostavu ponuda nije objavljen  na web stranici </w:t>
            </w:r>
            <w:r w:rsidR="008A734E">
              <w:t xml:space="preserve"> </w:t>
            </w:r>
            <w:hyperlink r:id="rId8"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p>
          <w:p w14:paraId="6C319BB3" w14:textId="77777777" w:rsidR="00620D19" w:rsidRPr="00DC50C9" w:rsidRDefault="00620D19" w:rsidP="00D40619">
            <w:pPr>
              <w:spacing w:after="240"/>
              <w:jc w:val="both"/>
              <w:rPr>
                <w:rFonts w:ascii="Times New Roman" w:hAnsi="Times New Roman"/>
                <w:sz w:val="20"/>
                <w:szCs w:val="20"/>
                <w:highlight w:val="yellow"/>
              </w:rPr>
            </w:pPr>
          </w:p>
          <w:p w14:paraId="462F2214" w14:textId="1945A682"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9"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r w:rsidRPr="00B9303D">
              <w:rPr>
                <w:rFonts w:ascii="Times New Roman" w:hAnsi="Times New Roman"/>
                <w:sz w:val="20"/>
                <w:szCs w:val="20"/>
              </w:rPr>
              <w:t>kada je  postojala obveza, ali je zainteresirana strana (gospodarski subjekt) imala pristup informacijama vezanima uz postupak nabave te bila u mogućnosti iskazati interes za sudjelovanjem u postupku i dobivanju tog ugovora.</w:t>
            </w:r>
          </w:p>
          <w:p w14:paraId="193B4371" w14:textId="77777777" w:rsidR="00620D19" w:rsidRPr="00B9303D"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1197084A"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A25C83C"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67F9F55" w14:textId="77777777" w:rsidR="00620D19" w:rsidRPr="00DC50C9" w:rsidRDefault="00620D19" w:rsidP="00D40619">
            <w:pPr>
              <w:jc w:val="both"/>
              <w:rPr>
                <w:rFonts w:ascii="Times New Roman" w:hAnsi="Times New Roman"/>
                <w:sz w:val="20"/>
                <w:szCs w:val="20"/>
                <w:highlight w:val="yellow"/>
              </w:rPr>
            </w:pPr>
          </w:p>
          <w:p w14:paraId="7121129A" w14:textId="77777777" w:rsidR="00620D19" w:rsidRPr="00DC50C9" w:rsidRDefault="00620D19" w:rsidP="00D40619">
            <w:pPr>
              <w:jc w:val="both"/>
              <w:rPr>
                <w:rFonts w:ascii="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1CD3978E" w14:textId="77777777" w:rsidR="00620D19" w:rsidRPr="00DC1AD5" w:rsidRDefault="00620D19" w:rsidP="00D40619">
            <w:pPr>
              <w:widowControl w:val="0"/>
              <w:spacing w:after="240"/>
              <w:jc w:val="both"/>
              <w:rPr>
                <w:rFonts w:ascii="Times New Roman" w:hAnsi="Times New Roman"/>
                <w:sz w:val="20"/>
                <w:szCs w:val="20"/>
              </w:rPr>
            </w:pPr>
            <w:r w:rsidRPr="00DC1AD5">
              <w:rPr>
                <w:rFonts w:ascii="Times New Roman" w:hAnsi="Times New Roman"/>
                <w:sz w:val="20"/>
                <w:szCs w:val="20"/>
              </w:rPr>
              <w:t xml:space="preserve">100% korekcije od *ugovorenog iznosa </w:t>
            </w:r>
          </w:p>
          <w:p w14:paraId="7C69F4EE" w14:textId="77777777" w:rsidR="00620D19" w:rsidRPr="00DC1AD5" w:rsidRDefault="00620D19" w:rsidP="00D40619">
            <w:pPr>
              <w:widowControl w:val="0"/>
              <w:spacing w:after="240"/>
              <w:jc w:val="both"/>
              <w:rPr>
                <w:rFonts w:ascii="Times New Roman" w:hAnsi="Times New Roman"/>
                <w:sz w:val="20"/>
                <w:szCs w:val="20"/>
              </w:rPr>
            </w:pPr>
          </w:p>
          <w:p w14:paraId="07E64035" w14:textId="77777777" w:rsidR="00620D19" w:rsidRDefault="00620D19" w:rsidP="00D40619">
            <w:pPr>
              <w:widowControl w:val="0"/>
              <w:jc w:val="both"/>
              <w:rPr>
                <w:rFonts w:ascii="Times New Roman" w:hAnsi="Times New Roman"/>
                <w:sz w:val="20"/>
                <w:szCs w:val="20"/>
              </w:rPr>
            </w:pPr>
          </w:p>
          <w:p w14:paraId="2739DA8B" w14:textId="77777777" w:rsidR="00620D19" w:rsidRPr="00DC1AD5" w:rsidRDefault="00620D19" w:rsidP="00D40619">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620D19" w:rsidRPr="00DC1AD5" w14:paraId="2D212840" w14:textId="77777777" w:rsidTr="00D40619">
        <w:trPr>
          <w:trHeight w:val="841"/>
        </w:trPr>
        <w:tc>
          <w:tcPr>
            <w:tcW w:w="567" w:type="dxa"/>
            <w:tcBorders>
              <w:top w:val="single" w:sz="4" w:space="0" w:color="auto"/>
              <w:left w:val="single" w:sz="4" w:space="0" w:color="auto"/>
              <w:bottom w:val="single" w:sz="4" w:space="0" w:color="auto"/>
              <w:right w:val="single" w:sz="4" w:space="0" w:color="auto"/>
            </w:tcBorders>
            <w:hideMark/>
          </w:tcPr>
          <w:p w14:paraId="1943F192" w14:textId="77777777" w:rsidR="00620D19" w:rsidRPr="00DC1AD5" w:rsidRDefault="00620D19" w:rsidP="00D40619">
            <w:pPr>
              <w:spacing w:after="240"/>
              <w:jc w:val="right"/>
              <w:rPr>
                <w:rFonts w:ascii="Times New Roman" w:hAnsi="Times New Roman"/>
              </w:rPr>
            </w:pPr>
            <w:r w:rsidRPr="00DC1AD5">
              <w:rPr>
                <w:rFonts w:ascii="Times New Roman" w:hAnsi="Times New Roman"/>
              </w:rPr>
              <w:lastRenderedPageBreak/>
              <w:t>2.</w:t>
            </w:r>
          </w:p>
        </w:tc>
        <w:tc>
          <w:tcPr>
            <w:tcW w:w="3823" w:type="dxa"/>
            <w:tcBorders>
              <w:top w:val="single" w:sz="4" w:space="0" w:color="auto"/>
              <w:left w:val="single" w:sz="4" w:space="0" w:color="auto"/>
              <w:bottom w:val="single" w:sz="4" w:space="0" w:color="auto"/>
              <w:right w:val="single" w:sz="4" w:space="0" w:color="auto"/>
            </w:tcBorders>
          </w:tcPr>
          <w:p w14:paraId="5E972FC0"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Pr>
                <w:rFonts w:ascii="Times New Roman" w:hAnsi="Times New Roman"/>
                <w:sz w:val="20"/>
                <w:szCs w:val="20"/>
              </w:rPr>
              <w:t xml:space="preserve"> </w:t>
            </w:r>
            <w:r w:rsidRPr="00363FE5">
              <w:rPr>
                <w:rFonts w:ascii="Times New Roman" w:hAnsi="Times New Roman"/>
                <w:sz w:val="20"/>
                <w:szCs w:val="20"/>
              </w:rPr>
              <w:t xml:space="preserve">čime se izbjegava objava poziva na </w:t>
            </w:r>
            <w:r>
              <w:rPr>
                <w:rFonts w:ascii="Times New Roman" w:hAnsi="Times New Roman"/>
                <w:sz w:val="20"/>
                <w:szCs w:val="20"/>
              </w:rPr>
              <w:t>dostavu ponuda</w:t>
            </w:r>
            <w:r w:rsidRPr="00363FE5">
              <w:rPr>
                <w:rFonts w:ascii="Times New Roman" w:hAnsi="Times New Roman"/>
                <w:sz w:val="20"/>
                <w:szCs w:val="20"/>
              </w:rPr>
              <w:t xml:space="preserve"> u skladu s primjenjivim pravilima te se </w:t>
            </w:r>
            <w:r>
              <w:rPr>
                <w:rFonts w:ascii="Times New Roman" w:hAnsi="Times New Roman"/>
                <w:sz w:val="20"/>
                <w:szCs w:val="20"/>
              </w:rPr>
              <w:t xml:space="preserve">na </w:t>
            </w:r>
            <w:r w:rsidRPr="00363FE5">
              <w:rPr>
                <w:rFonts w:ascii="Times New Roman" w:hAnsi="Times New Roman"/>
                <w:sz w:val="20"/>
                <w:szCs w:val="20"/>
              </w:rPr>
              <w:t>taj način konkurentniji postupak zamjenjuje s manje konkurentnim postupkom nabave</w:t>
            </w:r>
          </w:p>
          <w:p w14:paraId="690FBE0D" w14:textId="77777777" w:rsidR="00620D19" w:rsidRPr="00DC1AD5" w:rsidRDefault="00620D19" w:rsidP="00D40619">
            <w:pPr>
              <w:spacing w:after="240"/>
              <w:jc w:val="both"/>
              <w:rPr>
                <w:rFonts w:ascii="Times New Roman" w:hAnsi="Times New Roman"/>
                <w:sz w:val="20"/>
                <w:szCs w:val="20"/>
              </w:rPr>
            </w:pPr>
          </w:p>
          <w:p w14:paraId="1BFAE8BE"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BF89B5" w14:textId="77777777" w:rsidR="00620D19" w:rsidRPr="00DC1AD5" w:rsidRDefault="00620D19" w:rsidP="00D4061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Pr>
                <w:rFonts w:ascii="Times New Roman" w:hAnsi="Times New Roman"/>
                <w:sz w:val="20"/>
                <w:szCs w:val="20"/>
              </w:rPr>
              <w:t>posljedicom</w:t>
            </w:r>
            <w:r w:rsidRPr="00DC1AD5">
              <w:rPr>
                <w:rFonts w:ascii="Times New Roman" w:hAnsi="Times New Roman"/>
                <w:sz w:val="20"/>
                <w:szCs w:val="20"/>
              </w:rPr>
              <w:t xml:space="preserve">  primjene manje konkurentnog postupka nabave s obzirom na navedene pragove za primjenu određenog postupka nabave.</w:t>
            </w:r>
          </w:p>
          <w:p w14:paraId="66129F92" w14:textId="77777777" w:rsidR="00620D19" w:rsidRPr="00DC1AD5" w:rsidRDefault="00620D19" w:rsidP="00D40619">
            <w:pPr>
              <w:jc w:val="both"/>
              <w:rPr>
                <w:rFonts w:ascii="Times New Roman" w:hAnsi="Times New Roman"/>
                <w:sz w:val="20"/>
                <w:szCs w:val="20"/>
              </w:rPr>
            </w:pPr>
          </w:p>
          <w:p w14:paraId="7380946E" w14:textId="2B74415E"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10" w:history="1">
              <w:r w:rsidR="00B9303D" w:rsidRPr="002B2B20">
                <w:rPr>
                  <w:rStyle w:val="Hyperlink"/>
                  <w:rFonts w:ascii="Times New Roman" w:hAnsi="Times New Roman"/>
                  <w:sz w:val="20"/>
                  <w:szCs w:val="20"/>
                </w:rPr>
                <w:t>www.planoporavka.gov.hr</w:t>
              </w:r>
            </w:hyperlink>
            <w:r w:rsidR="00B9303D">
              <w:rPr>
                <w:rStyle w:val="Hyperlink"/>
                <w:rFonts w:ascii="Times New Roman" w:hAnsi="Times New Roman"/>
                <w:sz w:val="20"/>
                <w:szCs w:val="20"/>
              </w:rPr>
              <w:t xml:space="preserve"> </w:t>
            </w:r>
            <w:r w:rsidRPr="00B9303D">
              <w:rPr>
                <w:rFonts w:ascii="Times New Roman" w:hAnsi="Times New Roman"/>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6CB2B7C" w14:textId="77777777" w:rsidR="00620D19" w:rsidRPr="00DC1AD5"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5B5000B2"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737A5E6"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poziv da se kontaktiraju nadležne osobe </w:t>
            </w:r>
            <w:r>
              <w:rPr>
                <w:rFonts w:ascii="Times New Roman" w:hAnsi="Times New Roman"/>
                <w:sz w:val="20"/>
                <w:szCs w:val="20"/>
              </w:rPr>
              <w:t>NOJN-a</w:t>
            </w:r>
            <w:r w:rsidRPr="00DC1AD5">
              <w:rPr>
                <w:rFonts w:ascii="Times New Roman" w:hAnsi="Times New Roman"/>
                <w:sz w:val="20"/>
                <w:szCs w:val="20"/>
              </w:rPr>
              <w:t>.</w:t>
            </w:r>
          </w:p>
          <w:p w14:paraId="1CE43E5A" w14:textId="77777777" w:rsidR="00620D19" w:rsidRPr="00DC1AD5" w:rsidRDefault="00620D19" w:rsidP="00D4061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7B38B55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100% korekcije (agregirano)</w:t>
            </w:r>
            <w:r w:rsidRPr="00DC1AD5">
              <w:rPr>
                <w:rFonts w:ascii="Times New Roman" w:hAnsi="Times New Roman"/>
                <w:sz w:val="20"/>
                <w:szCs w:val="20"/>
                <w:vertAlign w:val="superscript"/>
              </w:rPr>
              <w:footnoteReference w:id="13"/>
            </w:r>
          </w:p>
          <w:p w14:paraId="4991E914" w14:textId="77777777" w:rsidR="00620D19" w:rsidRPr="00DC1AD5" w:rsidRDefault="00620D19" w:rsidP="00D40619">
            <w:pPr>
              <w:spacing w:after="240"/>
              <w:jc w:val="both"/>
              <w:rPr>
                <w:rFonts w:ascii="Times New Roman" w:hAnsi="Times New Roman"/>
                <w:sz w:val="20"/>
                <w:szCs w:val="20"/>
              </w:rPr>
            </w:pPr>
          </w:p>
          <w:p w14:paraId="7DA784B2" w14:textId="77777777" w:rsidR="00620D19" w:rsidRPr="00DC1AD5" w:rsidRDefault="00620D19" w:rsidP="00D40619">
            <w:pPr>
              <w:spacing w:after="240"/>
              <w:jc w:val="both"/>
              <w:rPr>
                <w:rFonts w:ascii="Times New Roman" w:hAnsi="Times New Roman"/>
                <w:sz w:val="20"/>
                <w:szCs w:val="20"/>
              </w:rPr>
            </w:pPr>
          </w:p>
          <w:p w14:paraId="1E9A981A" w14:textId="77777777" w:rsidR="00620D19" w:rsidRPr="00DC1AD5" w:rsidRDefault="00620D19" w:rsidP="00D40619">
            <w:pPr>
              <w:jc w:val="both"/>
              <w:rPr>
                <w:rFonts w:ascii="Times New Roman" w:hAnsi="Times New Roman"/>
                <w:sz w:val="20"/>
                <w:szCs w:val="20"/>
              </w:rPr>
            </w:pPr>
          </w:p>
          <w:p w14:paraId="2BC9E59A" w14:textId="77777777" w:rsidR="00620D19" w:rsidRPr="00DC1AD5" w:rsidRDefault="00620D19" w:rsidP="00D40619">
            <w:pPr>
              <w:jc w:val="both"/>
              <w:rPr>
                <w:rFonts w:ascii="Times New Roman" w:hAnsi="Times New Roman"/>
                <w:sz w:val="20"/>
                <w:szCs w:val="20"/>
              </w:rPr>
            </w:pPr>
          </w:p>
          <w:p w14:paraId="7B7A1BB5" w14:textId="77777777" w:rsidR="00620D19" w:rsidRPr="00DC1AD5" w:rsidRDefault="00620D19" w:rsidP="00D40619">
            <w:pPr>
              <w:jc w:val="both"/>
              <w:rPr>
                <w:rFonts w:ascii="Times New Roman" w:hAnsi="Times New Roman"/>
                <w:sz w:val="20"/>
                <w:szCs w:val="20"/>
              </w:rPr>
            </w:pPr>
          </w:p>
          <w:p w14:paraId="1685FBFF"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0A0BBFD5" w14:textId="77777777" w:rsidTr="00D40619">
        <w:trPr>
          <w:trHeight w:val="1831"/>
        </w:trPr>
        <w:tc>
          <w:tcPr>
            <w:tcW w:w="567" w:type="dxa"/>
            <w:tcBorders>
              <w:top w:val="single" w:sz="4" w:space="0" w:color="auto"/>
              <w:left w:val="single" w:sz="4" w:space="0" w:color="auto"/>
              <w:bottom w:val="single" w:sz="4" w:space="0" w:color="auto"/>
              <w:right w:val="single" w:sz="4" w:space="0" w:color="auto"/>
            </w:tcBorders>
            <w:hideMark/>
          </w:tcPr>
          <w:p w14:paraId="6C11E515" w14:textId="77777777" w:rsidR="00620D19" w:rsidRPr="00DC1AD5" w:rsidRDefault="00620D19" w:rsidP="00D40619">
            <w:pPr>
              <w:spacing w:after="240"/>
              <w:jc w:val="right"/>
              <w:rPr>
                <w:rFonts w:ascii="Times New Roman" w:hAnsi="Times New Roman"/>
              </w:rPr>
            </w:pPr>
            <w:r w:rsidRPr="00DC1AD5">
              <w:rPr>
                <w:rFonts w:ascii="Times New Roman" w:hAnsi="Times New Roman"/>
              </w:rPr>
              <w:t>3.</w:t>
            </w:r>
          </w:p>
        </w:tc>
        <w:tc>
          <w:tcPr>
            <w:tcW w:w="3823" w:type="dxa"/>
            <w:tcBorders>
              <w:top w:val="single" w:sz="4" w:space="0" w:color="auto"/>
              <w:left w:val="single" w:sz="4" w:space="0" w:color="auto"/>
              <w:bottom w:val="single" w:sz="4" w:space="0" w:color="auto"/>
              <w:right w:val="single" w:sz="4" w:space="0" w:color="auto"/>
            </w:tcBorders>
            <w:hideMark/>
          </w:tcPr>
          <w:p w14:paraId="058E3B9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3C8FAA3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E814AC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11EB5D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a) Poziv na nadmetanje je objavljen na nacionalnoj razini (sukladno </w:t>
            </w:r>
            <w:r w:rsidRPr="00DC1AD5">
              <w:rPr>
                <w:rFonts w:ascii="Times New Roman" w:hAnsi="Times New Roman"/>
                <w:sz w:val="20"/>
                <w:szCs w:val="20"/>
              </w:rPr>
              <w:lastRenderedPageBreak/>
              <w:t>nacionalnom zakonodavstvu) ili</w:t>
            </w:r>
          </w:p>
          <w:p w14:paraId="4232FB8E"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-osnovna pravila za objavljivanje poziva na nadmetanje su bila poštivana i to na način:</w:t>
            </w:r>
          </w:p>
          <w:p w14:paraId="38E95991"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6B1DE77D"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546A21D"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lastRenderedPageBreak/>
              <w:t>100 % korekcije</w:t>
            </w:r>
          </w:p>
          <w:p w14:paraId="31C62E8B" w14:textId="77777777" w:rsidR="00620D19" w:rsidRPr="00DC1AD5" w:rsidRDefault="00620D19" w:rsidP="00D40619">
            <w:pPr>
              <w:jc w:val="both"/>
              <w:rPr>
                <w:rFonts w:ascii="Times New Roman" w:hAnsi="Times New Roman"/>
                <w:sz w:val="20"/>
                <w:szCs w:val="20"/>
              </w:rPr>
            </w:pPr>
          </w:p>
          <w:p w14:paraId="1AF455A7" w14:textId="77777777" w:rsidR="00620D19" w:rsidRPr="00DC1AD5" w:rsidRDefault="00620D19" w:rsidP="00D40619">
            <w:pPr>
              <w:jc w:val="both"/>
              <w:rPr>
                <w:rFonts w:ascii="Times New Roman" w:hAnsi="Times New Roman"/>
                <w:sz w:val="20"/>
                <w:szCs w:val="20"/>
              </w:rPr>
            </w:pPr>
          </w:p>
          <w:p w14:paraId="2A86A24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384431D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FCAF989" w14:textId="77777777" w:rsidR="00620D19" w:rsidRPr="00DC1AD5" w:rsidRDefault="00620D19" w:rsidP="00D40619">
            <w:pPr>
              <w:spacing w:after="240"/>
              <w:jc w:val="right"/>
              <w:rPr>
                <w:rFonts w:ascii="Times New Roman" w:hAnsi="Times New Roman"/>
              </w:rPr>
            </w:pPr>
            <w:r>
              <w:rPr>
                <w:rFonts w:ascii="Times New Roman" w:hAnsi="Times New Roman"/>
              </w:rPr>
              <w:t>4</w:t>
            </w:r>
            <w:r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8D3EE96"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574C70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4C04763E" w14:textId="18C161C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25</w:t>
            </w:r>
            <w:r w:rsidRPr="00526530">
              <w:rPr>
                <w:rFonts w:ascii="Times New Roman" w:hAnsi="Times New Roman"/>
                <w:sz w:val="20"/>
                <w:szCs w:val="20"/>
              </w:rPr>
              <w:t xml:space="preserve"> % ako je smanjenje rokova &gt;= </w:t>
            </w:r>
            <w:r>
              <w:rPr>
                <w:rFonts w:ascii="Times New Roman" w:hAnsi="Times New Roman"/>
                <w:sz w:val="20"/>
                <w:szCs w:val="20"/>
              </w:rPr>
              <w:t>50</w:t>
            </w:r>
            <w:r w:rsidRPr="00526530">
              <w:rPr>
                <w:rFonts w:ascii="Times New Roman" w:hAnsi="Times New Roman"/>
                <w:sz w:val="20"/>
                <w:szCs w:val="20"/>
              </w:rPr>
              <w:t xml:space="preserve"> %</w:t>
            </w:r>
          </w:p>
          <w:p w14:paraId="6238F76C" w14:textId="7777777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10</w:t>
            </w:r>
            <w:r w:rsidRPr="00526530">
              <w:rPr>
                <w:rFonts w:ascii="Times New Roman" w:hAnsi="Times New Roman"/>
                <w:sz w:val="20"/>
                <w:szCs w:val="20"/>
              </w:rPr>
              <w:t xml:space="preserve"> % ako je smanjenje rokova &gt;= </w:t>
            </w:r>
            <w:r>
              <w:rPr>
                <w:rFonts w:ascii="Times New Roman" w:hAnsi="Times New Roman"/>
                <w:sz w:val="20"/>
                <w:szCs w:val="20"/>
              </w:rPr>
              <w:t>30</w:t>
            </w:r>
            <w:r w:rsidRPr="00526530">
              <w:rPr>
                <w:rFonts w:ascii="Times New Roman" w:hAnsi="Times New Roman"/>
                <w:sz w:val="20"/>
                <w:szCs w:val="20"/>
              </w:rPr>
              <w:t xml:space="preserve"> % ali ne prelazi 5</w:t>
            </w:r>
            <w:r>
              <w:rPr>
                <w:rFonts w:ascii="Times New Roman" w:hAnsi="Times New Roman"/>
                <w:sz w:val="20"/>
                <w:szCs w:val="20"/>
              </w:rPr>
              <w:t>0</w:t>
            </w:r>
            <w:r w:rsidRPr="00526530">
              <w:rPr>
                <w:rFonts w:ascii="Times New Roman" w:hAnsi="Times New Roman"/>
                <w:sz w:val="20"/>
                <w:szCs w:val="20"/>
              </w:rPr>
              <w:t xml:space="preserve"> %</w:t>
            </w:r>
          </w:p>
          <w:p w14:paraId="3E78CE57"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Ako je smanjenje  rokova &gt;30 % ispravak se može umanjiti na 5 % od ugovorenog iznosa, odnosno 2 % u iznimnim i opravdanim slučajevima</w:t>
            </w:r>
            <w:r w:rsidRPr="00526530">
              <w:rPr>
                <w:rFonts w:ascii="Times New Roman" w:hAnsi="Times New Roman"/>
                <w:sz w:val="20"/>
                <w:szCs w:val="20"/>
              </w:rPr>
              <w:t xml:space="preserve"> &lt; 30%</w:t>
            </w:r>
          </w:p>
          <w:p w14:paraId="3B90ACDB" w14:textId="77777777" w:rsidR="00620D19" w:rsidRPr="00DC1AD5" w:rsidRDefault="00620D19" w:rsidP="00D40619">
            <w:pPr>
              <w:spacing w:after="240"/>
              <w:jc w:val="both"/>
              <w:rPr>
                <w:rFonts w:ascii="Times New Roman" w:hAnsi="Times New Roman"/>
                <w:sz w:val="20"/>
                <w:szCs w:val="20"/>
              </w:rPr>
            </w:pPr>
          </w:p>
        </w:tc>
      </w:tr>
      <w:tr w:rsidR="00620D19" w:rsidRPr="00DC1AD5" w14:paraId="38464319" w14:textId="77777777" w:rsidTr="00D40619">
        <w:trPr>
          <w:trHeight w:val="3729"/>
        </w:trPr>
        <w:tc>
          <w:tcPr>
            <w:tcW w:w="567" w:type="dxa"/>
            <w:tcBorders>
              <w:top w:val="single" w:sz="4" w:space="0" w:color="auto"/>
              <w:left w:val="single" w:sz="4" w:space="0" w:color="auto"/>
              <w:bottom w:val="single" w:sz="4" w:space="0" w:color="auto"/>
              <w:right w:val="single" w:sz="4" w:space="0" w:color="auto"/>
            </w:tcBorders>
          </w:tcPr>
          <w:p w14:paraId="190C6179" w14:textId="419A8309" w:rsidR="00620D19" w:rsidRPr="00DC1AD5" w:rsidRDefault="00CF3B45" w:rsidP="00D40619">
            <w:pPr>
              <w:spacing w:after="240"/>
              <w:jc w:val="right"/>
              <w:rPr>
                <w:rFonts w:ascii="Times New Roman" w:hAnsi="Times New Roman"/>
              </w:rPr>
            </w:pPr>
            <w:r>
              <w:rPr>
                <w:rFonts w:ascii="Times New Roman" w:hAnsi="Times New Roman"/>
              </w:rPr>
              <w:t>5</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0B042791"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Slučajevi u kojima su potencijalni ponuditelji bili odvraćeni od nadmetanja zbog diskriminirajućih kriterija u pozivu na dostavu ponuda.</w:t>
            </w:r>
          </w:p>
          <w:p w14:paraId="396E9987" w14:textId="77777777" w:rsidR="00620D19" w:rsidRPr="00526530" w:rsidRDefault="00620D19" w:rsidP="00D40619">
            <w:pPr>
              <w:widowControl w:val="0"/>
              <w:autoSpaceDE w:val="0"/>
              <w:autoSpaceDN w:val="0"/>
              <w:adjustRightInd w:val="0"/>
              <w:ind w:left="396"/>
              <w:jc w:val="both"/>
              <w:rPr>
                <w:rFonts w:ascii="Times New Roman" w:hAnsi="Times New Roman"/>
                <w:sz w:val="20"/>
                <w:szCs w:val="20"/>
              </w:rPr>
            </w:pPr>
          </w:p>
          <w:p w14:paraId="63049E31" w14:textId="77777777" w:rsidR="00620D19" w:rsidRPr="00526530" w:rsidRDefault="00620D19" w:rsidP="00D40619">
            <w:pPr>
              <w:widowControl w:val="0"/>
              <w:autoSpaceDE w:val="0"/>
              <w:autoSpaceDN w:val="0"/>
              <w:adjustRightInd w:val="0"/>
              <w:jc w:val="both"/>
              <w:rPr>
                <w:rFonts w:ascii="Times New Roman" w:hAnsi="Times New Roman"/>
                <w:sz w:val="20"/>
                <w:szCs w:val="20"/>
              </w:rPr>
            </w:pPr>
          </w:p>
          <w:p w14:paraId="4335A8F3" w14:textId="77777777" w:rsidR="00620D19" w:rsidRPr="00526530"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C9F425F" w14:textId="7777777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Pr>
                <w:rFonts w:ascii="Times New Roman" w:hAnsi="Times New Roman"/>
                <w:sz w:val="20"/>
                <w:szCs w:val="20"/>
              </w:rPr>
              <w:t xml:space="preserve">za </w:t>
            </w:r>
            <w:r w:rsidRPr="00526530">
              <w:rPr>
                <w:rFonts w:ascii="Times New Roman" w:hAnsi="Times New Roman"/>
                <w:sz w:val="20"/>
                <w:szCs w:val="20"/>
              </w:rPr>
              <w:t xml:space="preserve">NOJN radi se o povredi načela. </w:t>
            </w:r>
          </w:p>
          <w:p w14:paraId="04C23D6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2AB9B0A5" w14:textId="77777777" w:rsidR="00620D19" w:rsidRPr="00526530" w:rsidRDefault="00620D19" w:rsidP="00D4061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lastRenderedPageBreak/>
              <w:t>kriteriji za odabir</w:t>
            </w:r>
            <w:r w:rsidRPr="00526530">
              <w:rPr>
                <w:rStyle w:val="FootnoteReference"/>
                <w:rFonts w:ascii="Times New Roman" w:hAnsi="Times New Roman"/>
                <w:sz w:val="20"/>
                <w:szCs w:val="20"/>
              </w:rPr>
              <w:footnoteReference w:id="14"/>
            </w:r>
            <w:r w:rsidRPr="00526530">
              <w:rPr>
                <w:rFonts w:ascii="Times New Roman" w:hAnsi="Times New Roman"/>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30BA6DD4" w14:textId="77777777" w:rsidR="00620D19" w:rsidRPr="00526530" w:rsidRDefault="00620D19" w:rsidP="00D40619">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0111DD"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lastRenderedPageBreak/>
              <w:t>25% od ugovorenog iznosa</w:t>
            </w:r>
          </w:p>
          <w:p w14:paraId="0B175229"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Korekcija se može umanjiti na 10%</w:t>
            </w:r>
            <w:r>
              <w:rPr>
                <w:rFonts w:ascii="Times New Roman" w:hAnsi="Times New Roman"/>
                <w:sz w:val="20"/>
                <w:szCs w:val="20"/>
              </w:rPr>
              <w:t xml:space="preserve"> ili 5%</w:t>
            </w:r>
            <w:r w:rsidRPr="00526530">
              <w:rPr>
                <w:rFonts w:ascii="Times New Roman" w:hAnsi="Times New Roman"/>
                <w:sz w:val="20"/>
                <w:szCs w:val="20"/>
              </w:rPr>
              <w:t xml:space="preserve"> ukoliko je osigurana barem minimalna razina tržišnog natjecanja</w:t>
            </w:r>
            <w:r>
              <w:rPr>
                <w:rFonts w:ascii="Times New Roman" w:hAnsi="Times New Roman"/>
                <w:sz w:val="20"/>
                <w:szCs w:val="20"/>
              </w:rPr>
              <w:t xml:space="preserve"> </w:t>
            </w:r>
            <w:r w:rsidRPr="00857BE7">
              <w:rPr>
                <w:rFonts w:ascii="Times New Roman" w:hAnsi="Times New Roman"/>
                <w:sz w:val="20"/>
                <w:szCs w:val="20"/>
              </w:rPr>
              <w:t>te ukoliko se uvjet ne odnosi na GS već na stručnjaka ili na dio ugovora koji ne predstavlja glavni predmet nabave</w:t>
            </w:r>
          </w:p>
          <w:p w14:paraId="4F317AF1" w14:textId="36AF0289" w:rsidR="00620D19" w:rsidRPr="00526530" w:rsidRDefault="00620D19" w:rsidP="00D40619">
            <w:pPr>
              <w:spacing w:after="240"/>
              <w:jc w:val="both"/>
              <w:rPr>
                <w:rFonts w:ascii="Times New Roman" w:hAnsi="Times New Roman"/>
                <w:sz w:val="20"/>
                <w:szCs w:val="20"/>
              </w:rPr>
            </w:pPr>
          </w:p>
        </w:tc>
      </w:tr>
      <w:tr w:rsidR="00620D19" w:rsidRPr="00DC1AD5" w14:paraId="70D3A3B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A88DDDC" w14:textId="2AAB9924" w:rsidR="00620D19" w:rsidRPr="00DC1AD5" w:rsidRDefault="00CF3B45" w:rsidP="00D40619">
            <w:pPr>
              <w:spacing w:after="240"/>
              <w:jc w:val="right"/>
              <w:rPr>
                <w:rFonts w:ascii="Times New Roman" w:hAnsi="Times New Roman"/>
              </w:rPr>
            </w:pPr>
            <w:r>
              <w:rPr>
                <w:rFonts w:ascii="Times New Roman" w:hAnsi="Times New Roman"/>
              </w:rPr>
              <w:t>6</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FB44192"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Pr>
                <w:rFonts w:ascii="Times New Roman" w:hAnsi="Times New Roman"/>
                <w:sz w:val="20"/>
                <w:szCs w:val="20"/>
              </w:rPr>
              <w:t>/ili</w:t>
            </w:r>
            <w:r w:rsidRPr="00DC1AD5">
              <w:rPr>
                <w:rFonts w:ascii="Times New Roman" w:hAnsi="Times New Roman"/>
                <w:sz w:val="20"/>
                <w:szCs w:val="20"/>
              </w:rPr>
              <w:t xml:space="preserve"> nisu razmjerni predmetu ugovora.</w:t>
            </w:r>
          </w:p>
          <w:p w14:paraId="71447998"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AF9AA49"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Sukladno Pravilima za</w:t>
            </w:r>
            <w:r>
              <w:rPr>
                <w:rFonts w:ascii="Times New Roman" w:hAnsi="Times New Roman"/>
                <w:sz w:val="20"/>
                <w:szCs w:val="20"/>
              </w:rPr>
              <w:t xml:space="preserve"> NOJN</w:t>
            </w:r>
            <w:r w:rsidRPr="00DC1AD5">
              <w:rPr>
                <w:rFonts w:ascii="Times New Roman" w:hAnsi="Times New Roman"/>
                <w:sz w:val="20"/>
                <w:szCs w:val="20"/>
              </w:rPr>
              <w:t>.</w:t>
            </w:r>
            <w:r>
              <w:rPr>
                <w:rFonts w:ascii="Times New Roman" w:hAnsi="Times New Roman"/>
                <w:sz w:val="20"/>
                <w:szCs w:val="20"/>
              </w:rPr>
              <w:t xml:space="preserve"> </w:t>
            </w:r>
            <w:r w:rsidRPr="00C075D8">
              <w:rPr>
                <w:rFonts w:ascii="Times New Roman" w:hAnsi="Times New Roman"/>
                <w:sz w:val="20"/>
                <w:szCs w:val="20"/>
              </w:rPr>
              <w:t>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79D4B6DD" w14:textId="54D1D706" w:rsidR="00CF3B45" w:rsidRPr="00526530" w:rsidRDefault="00CF3B45" w:rsidP="00CF3B45">
            <w:pPr>
              <w:spacing w:after="240"/>
              <w:jc w:val="both"/>
              <w:rPr>
                <w:rFonts w:ascii="Times New Roman" w:hAnsi="Times New Roman"/>
                <w:sz w:val="20"/>
                <w:szCs w:val="20"/>
              </w:rPr>
            </w:pPr>
            <w:r>
              <w:rPr>
                <w:rFonts w:ascii="Times New Roman" w:hAnsi="Times New Roman"/>
                <w:sz w:val="20"/>
                <w:szCs w:val="20"/>
              </w:rPr>
              <w:t xml:space="preserve">25 </w:t>
            </w:r>
            <w:r w:rsidRPr="00526530">
              <w:rPr>
                <w:rFonts w:ascii="Times New Roman" w:hAnsi="Times New Roman"/>
                <w:sz w:val="20"/>
                <w:szCs w:val="20"/>
              </w:rPr>
              <w:t>% od ugovorenog iznosa</w:t>
            </w:r>
            <w:r>
              <w:rPr>
                <w:rFonts w:ascii="Times New Roman" w:hAnsi="Times New Roman"/>
                <w:sz w:val="20"/>
                <w:szCs w:val="20"/>
              </w:rPr>
              <w:t xml:space="preserve"> </w:t>
            </w:r>
            <w:r w:rsidRPr="00CF3B45">
              <w:rPr>
                <w:rFonts w:ascii="Times New Roman" w:hAnsi="Times New Roman"/>
                <w:sz w:val="20"/>
                <w:szCs w:val="20"/>
              </w:rPr>
              <w:t>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020DB9AC" w14:textId="0A384F56" w:rsidR="00620D19" w:rsidRDefault="00CF3B45" w:rsidP="00D40619">
            <w:pPr>
              <w:spacing w:after="240"/>
              <w:jc w:val="both"/>
              <w:rPr>
                <w:rFonts w:ascii="Times New Roman" w:hAnsi="Times New Roman"/>
                <w:sz w:val="20"/>
                <w:szCs w:val="20"/>
              </w:rPr>
            </w:pPr>
            <w:r>
              <w:rPr>
                <w:rFonts w:ascii="Times New Roman" w:hAnsi="Times New Roman"/>
                <w:sz w:val="20"/>
                <w:szCs w:val="20"/>
              </w:rPr>
              <w:t xml:space="preserve">10% ili </w:t>
            </w:r>
            <w:r w:rsidRPr="00CF3B45">
              <w:rPr>
                <w:rFonts w:ascii="Times New Roman" w:hAnsi="Times New Roman"/>
                <w:sz w:val="20"/>
                <w:szCs w:val="20"/>
              </w:rPr>
              <w:t>5%</w:t>
            </w:r>
            <w:r>
              <w:rPr>
                <w:rFonts w:ascii="Times New Roman" w:hAnsi="Times New Roman"/>
                <w:sz w:val="20"/>
                <w:szCs w:val="20"/>
              </w:rPr>
              <w:t xml:space="preserve"> od ugovorenog iznosa a</w:t>
            </w:r>
            <w:r w:rsidRPr="00CF3B45">
              <w:rPr>
                <w:rFonts w:ascii="Times New Roman" w:hAnsi="Times New Roman"/>
                <w:sz w:val="20"/>
                <w:szCs w:val="20"/>
              </w:rPr>
              <w:t xml:space="preserve">ko je unatoč odvraćajućem učinku ipak osigurana minimalna razina tržišnog natjecanja, npr. veći broj </w:t>
            </w:r>
            <w:r>
              <w:rPr>
                <w:rFonts w:ascii="Times New Roman" w:hAnsi="Times New Roman"/>
                <w:sz w:val="20"/>
                <w:szCs w:val="20"/>
              </w:rPr>
              <w:t>ponuda.</w:t>
            </w:r>
            <w:r w:rsidRPr="00CF3B45">
              <w:rPr>
                <w:rFonts w:ascii="Times New Roman" w:hAnsi="Times New Roman"/>
                <w:sz w:val="20"/>
                <w:szCs w:val="20"/>
              </w:rPr>
              <w:t xml:space="preserve"> Iznimno moguće je odrediti i manju korekciju primjenjujući načelo razmjernosti (npr ukoliko se uvjet ne odnosi na GS već na stručnjaka, ukoliko se radi o dijelu ugovora koji je sporedne prirode_)</w:t>
            </w:r>
          </w:p>
          <w:p w14:paraId="63989D33" w14:textId="77777777" w:rsidR="00620D19" w:rsidRPr="00DC1AD5" w:rsidRDefault="00620D19" w:rsidP="00D40619">
            <w:pPr>
              <w:spacing w:after="240"/>
              <w:jc w:val="both"/>
              <w:rPr>
                <w:rFonts w:ascii="Times New Roman" w:hAnsi="Times New Roman"/>
                <w:sz w:val="20"/>
                <w:szCs w:val="20"/>
              </w:rPr>
            </w:pPr>
          </w:p>
        </w:tc>
      </w:tr>
      <w:tr w:rsidR="00620D19" w:rsidRPr="00DC1AD5" w14:paraId="57A1EB99"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023B98F1" w14:textId="76345410" w:rsidR="00620D19" w:rsidRPr="00DC1AD5" w:rsidRDefault="00CF3B45" w:rsidP="00D40619">
            <w:pPr>
              <w:spacing w:after="240"/>
              <w:jc w:val="right"/>
              <w:rPr>
                <w:rFonts w:ascii="Times New Roman" w:hAnsi="Times New Roman"/>
                <w:sz w:val="20"/>
                <w:szCs w:val="20"/>
              </w:rPr>
            </w:pPr>
            <w:r>
              <w:rPr>
                <w:rFonts w:ascii="Times New Roman" w:hAnsi="Times New Roman"/>
                <w:sz w:val="20"/>
                <w:szCs w:val="20"/>
              </w:rPr>
              <w:lastRenderedPageBreak/>
              <w:t>7</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3670EB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63AC996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6F85551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Npr.</w:t>
            </w:r>
          </w:p>
          <w:p w14:paraId="691D2871"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Pr>
                <w:rFonts w:ascii="Times New Roman" w:hAnsi="Times New Roman"/>
                <w:sz w:val="20"/>
                <w:szCs w:val="20"/>
              </w:rPr>
              <w:t xml:space="preserve">, </w:t>
            </w:r>
            <w:r w:rsidRPr="0098541C">
              <w:rPr>
                <w:rFonts w:ascii="Times New Roman" w:hAnsi="Times New Roman"/>
                <w:sz w:val="20"/>
                <w:szCs w:val="20"/>
              </w:rPr>
              <w:t>„kao“, „tipa“, „slično“ i dr.</w:t>
            </w:r>
            <w:r>
              <w:rPr>
                <w:rFonts w:ascii="Times New Roman" w:hAnsi="Times New Roman"/>
                <w:sz w:val="20"/>
                <w:szCs w:val="20"/>
              </w:rPr>
              <w:t xml:space="preserve">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1EA56AF8"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ne sadrže naziv robne marke, ali sadrže tehničke i funkcionalne zahtjeve koji su definirani na način da samo određena robna marka iste može ispuniti;</w:t>
            </w:r>
          </w:p>
          <w:p w14:paraId="4B055F7F" w14:textId="77777777" w:rsidR="00620D19" w:rsidRPr="00DC1AD5" w:rsidRDefault="00620D19" w:rsidP="00D40619">
            <w:pPr>
              <w:spacing w:after="240"/>
              <w:jc w:val="both"/>
              <w:rPr>
                <w:rFonts w:ascii="Times New Roman" w:hAnsi="Times New Roman"/>
                <w:sz w:val="20"/>
                <w:szCs w:val="20"/>
              </w:rPr>
            </w:pPr>
          </w:p>
          <w:p w14:paraId="282D55D8"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42F69D" w14:textId="77777777" w:rsidR="00620D19" w:rsidRDefault="00620D19" w:rsidP="00D40619">
            <w:pPr>
              <w:jc w:val="both"/>
              <w:rPr>
                <w:rFonts w:ascii="Times New Roman" w:hAnsi="Times New Roman"/>
                <w:sz w:val="20"/>
                <w:szCs w:val="20"/>
              </w:rPr>
            </w:pPr>
            <w:r w:rsidRPr="007E4A96">
              <w:rPr>
                <w:rFonts w:ascii="Times New Roman" w:hAnsi="Times New Roman"/>
                <w:sz w:val="20"/>
                <w:szCs w:val="20"/>
              </w:rPr>
              <w:t xml:space="preserve">10 % </w:t>
            </w:r>
            <w:r>
              <w:rPr>
                <w:rFonts w:ascii="Times New Roman" w:hAnsi="Times New Roman"/>
                <w:sz w:val="20"/>
                <w:szCs w:val="20"/>
              </w:rPr>
              <w:t>od ugovorenog iznosa</w:t>
            </w:r>
          </w:p>
          <w:p w14:paraId="19FBD940" w14:textId="77777777" w:rsidR="00620D19" w:rsidRPr="007E4A96" w:rsidRDefault="00620D19" w:rsidP="00D40619">
            <w:pPr>
              <w:jc w:val="both"/>
              <w:rPr>
                <w:rFonts w:ascii="Times New Roman" w:hAnsi="Times New Roman"/>
                <w:sz w:val="20"/>
                <w:szCs w:val="20"/>
              </w:rPr>
            </w:pPr>
          </w:p>
          <w:p w14:paraId="3A279833" w14:textId="459827F6" w:rsidR="00E22F84" w:rsidRPr="00E22F84" w:rsidRDefault="00620D19" w:rsidP="00E22F84">
            <w:pPr>
              <w:jc w:val="both"/>
              <w:rPr>
                <w:rFonts w:ascii="Times New Roman" w:hAnsi="Times New Roman"/>
                <w:sz w:val="20"/>
                <w:szCs w:val="20"/>
              </w:rPr>
            </w:pPr>
            <w:r w:rsidRPr="007E4A96">
              <w:rPr>
                <w:rFonts w:ascii="Times New Roman" w:hAnsi="Times New Roman"/>
                <w:sz w:val="20"/>
                <w:szCs w:val="20"/>
              </w:rPr>
              <w:t xml:space="preserve">Korekcija se može </w:t>
            </w:r>
            <w:r>
              <w:rPr>
                <w:rFonts w:ascii="Times New Roman" w:hAnsi="Times New Roman"/>
                <w:sz w:val="20"/>
                <w:szCs w:val="20"/>
              </w:rPr>
              <w:t>u</w:t>
            </w:r>
            <w:r w:rsidRPr="007E4A96">
              <w:rPr>
                <w:rFonts w:ascii="Times New Roman" w:hAnsi="Times New Roman"/>
                <w:sz w:val="20"/>
                <w:szCs w:val="20"/>
              </w:rPr>
              <w:t>manjiti na 5 %</w:t>
            </w:r>
            <w:r>
              <w:rPr>
                <w:rFonts w:ascii="Times New Roman" w:hAnsi="Times New Roman"/>
                <w:sz w:val="20"/>
                <w:szCs w:val="20"/>
              </w:rPr>
              <w:t xml:space="preserve">, </w:t>
            </w:r>
            <w:r w:rsidR="00E22F84">
              <w:t xml:space="preserve"> </w:t>
            </w:r>
            <w:r w:rsidR="00E22F84" w:rsidRPr="00E22F84">
              <w:rPr>
                <w:rFonts w:ascii="Times New Roman" w:hAnsi="Times New Roman"/>
                <w:sz w:val="20"/>
                <w:szCs w:val="20"/>
              </w:rPr>
              <w:t xml:space="preserve">ako je unatoč odvraćajućem učinku ipak osigurana minimalna razina tržišnog natjecanja, </w:t>
            </w:r>
          </w:p>
          <w:p w14:paraId="27FA1DAE" w14:textId="042DE3C0" w:rsidR="00E22F84" w:rsidRDefault="00E22F84" w:rsidP="00E22F84">
            <w:pPr>
              <w:jc w:val="both"/>
              <w:rPr>
                <w:rFonts w:ascii="Times New Roman" w:hAnsi="Times New Roman"/>
                <w:sz w:val="20"/>
                <w:szCs w:val="20"/>
              </w:rPr>
            </w:pPr>
            <w:r w:rsidRPr="00E22F84">
              <w:rPr>
                <w:rFonts w:ascii="Times New Roman" w:hAnsi="Times New Roman"/>
                <w:sz w:val="20"/>
                <w:szCs w:val="20"/>
              </w:rPr>
              <w:t>npr. veći broj prihvatljivih ponuda</w:t>
            </w:r>
            <w:r>
              <w:rPr>
                <w:rFonts w:ascii="Times New Roman" w:hAnsi="Times New Roman"/>
                <w:sz w:val="20"/>
                <w:szCs w:val="20"/>
              </w:rPr>
              <w:t>.</w:t>
            </w:r>
          </w:p>
          <w:p w14:paraId="6F86F611" w14:textId="77777777" w:rsidR="00E22F84" w:rsidRDefault="00E22F84" w:rsidP="00E22F84">
            <w:pPr>
              <w:jc w:val="both"/>
              <w:rPr>
                <w:rFonts w:ascii="Times New Roman" w:hAnsi="Times New Roman"/>
                <w:sz w:val="20"/>
                <w:szCs w:val="20"/>
              </w:rPr>
            </w:pPr>
          </w:p>
          <w:p w14:paraId="5EE6B6CD" w14:textId="77777777" w:rsidR="00E22F84" w:rsidRPr="007E4A96" w:rsidRDefault="00E22F84" w:rsidP="00E22F84">
            <w:pPr>
              <w:jc w:val="both"/>
              <w:rPr>
                <w:rFonts w:ascii="Times New Roman" w:hAnsi="Times New Roman"/>
                <w:sz w:val="20"/>
                <w:szCs w:val="20"/>
              </w:rPr>
            </w:pPr>
            <w:r w:rsidRPr="00811D7C">
              <w:rPr>
                <w:rFonts w:ascii="Times New Roman" w:hAnsi="Times New Roman"/>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r>
              <w:rPr>
                <w:rFonts w:ascii="Times New Roman" w:hAnsi="Times New Roman"/>
                <w:sz w:val="20"/>
                <w:szCs w:val="20"/>
              </w:rPr>
              <w:t>)</w:t>
            </w:r>
          </w:p>
          <w:p w14:paraId="53FFCC1C" w14:textId="77777777" w:rsidR="00E22F84" w:rsidRPr="007E4A96" w:rsidRDefault="00E22F84" w:rsidP="00E22F84">
            <w:pPr>
              <w:jc w:val="both"/>
              <w:rPr>
                <w:rFonts w:ascii="Times New Roman" w:hAnsi="Times New Roman"/>
                <w:sz w:val="20"/>
                <w:szCs w:val="20"/>
              </w:rPr>
            </w:pPr>
          </w:p>
          <w:p w14:paraId="6AD10279" w14:textId="77777777" w:rsidR="00E22F84" w:rsidRPr="007E4A96" w:rsidRDefault="00E22F84" w:rsidP="00D40619">
            <w:pPr>
              <w:jc w:val="both"/>
              <w:rPr>
                <w:rFonts w:ascii="Times New Roman" w:hAnsi="Times New Roman"/>
                <w:sz w:val="20"/>
                <w:szCs w:val="20"/>
              </w:rPr>
            </w:pPr>
          </w:p>
          <w:p w14:paraId="025D4423" w14:textId="77777777" w:rsidR="00620D19" w:rsidRPr="007E4A96" w:rsidRDefault="00620D19" w:rsidP="00D40619">
            <w:pPr>
              <w:jc w:val="both"/>
              <w:rPr>
                <w:rFonts w:ascii="Times New Roman" w:hAnsi="Times New Roman"/>
                <w:sz w:val="20"/>
                <w:szCs w:val="20"/>
              </w:rPr>
            </w:pPr>
          </w:p>
          <w:p w14:paraId="4F0BA764" w14:textId="77777777" w:rsidR="00620D19" w:rsidRPr="007E4A96" w:rsidRDefault="00620D19" w:rsidP="00D40619">
            <w:pPr>
              <w:jc w:val="both"/>
              <w:rPr>
                <w:rFonts w:ascii="Times New Roman" w:hAnsi="Times New Roman"/>
                <w:sz w:val="20"/>
                <w:szCs w:val="20"/>
              </w:rPr>
            </w:pPr>
            <w:r w:rsidRPr="007E4A96">
              <w:rPr>
                <w:rFonts w:ascii="Times New Roman" w:hAnsi="Times New Roman"/>
                <w:sz w:val="20"/>
                <w:szCs w:val="20"/>
              </w:rPr>
              <w:t>25%</w:t>
            </w:r>
          </w:p>
          <w:p w14:paraId="0D21756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620D19" w:rsidRPr="00DC1AD5" w14:paraId="36CE510C"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9D83E18" w14:textId="7061DF93"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8.</w:t>
            </w:r>
          </w:p>
        </w:tc>
        <w:tc>
          <w:tcPr>
            <w:tcW w:w="3823" w:type="dxa"/>
            <w:tcBorders>
              <w:top w:val="single" w:sz="4" w:space="0" w:color="auto"/>
              <w:left w:val="single" w:sz="4" w:space="0" w:color="auto"/>
              <w:bottom w:val="single" w:sz="4" w:space="0" w:color="auto"/>
              <w:right w:val="single" w:sz="4" w:space="0" w:color="auto"/>
            </w:tcBorders>
          </w:tcPr>
          <w:p w14:paraId="77D32609" w14:textId="77777777" w:rsidR="00620D19" w:rsidRPr="00DC1AD5" w:rsidRDefault="00620D19" w:rsidP="00D4061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7A672944" w14:textId="77777777" w:rsidR="00620D19" w:rsidRPr="00DC1AD5" w:rsidRDefault="00620D19" w:rsidP="00D40619">
            <w:pPr>
              <w:spacing w:after="240"/>
              <w:jc w:val="both"/>
              <w:rPr>
                <w:rFonts w:ascii="Times New Roman" w:hAnsi="Times New Roman"/>
                <w:sz w:val="20"/>
                <w:szCs w:val="20"/>
              </w:rPr>
            </w:pPr>
            <w:r w:rsidRPr="002226A4">
              <w:rPr>
                <w:rFonts w:ascii="Times New Roman" w:hAnsi="Times New Roman"/>
                <w:sz w:val="20"/>
                <w:szCs w:val="20"/>
              </w:rPr>
              <w:t xml:space="preserve">Opis </w:t>
            </w:r>
            <w:r>
              <w:rPr>
                <w:rFonts w:ascii="Times New Roman" w:hAnsi="Times New Roman"/>
                <w:sz w:val="20"/>
                <w:szCs w:val="20"/>
              </w:rPr>
              <w:t xml:space="preserve">predmeta nabave </w:t>
            </w:r>
            <w:r w:rsidRPr="002226A4">
              <w:rPr>
                <w:rFonts w:ascii="Times New Roman" w:hAnsi="Times New Roman"/>
                <w:sz w:val="20"/>
                <w:szCs w:val="20"/>
              </w:rPr>
              <w:t>u pozivu na dostavu ponuda nedostatan je ili neprecizan u smislu da može onemogućiti potencijalnim ponuditeljima određivanje predmeta ugovora.</w:t>
            </w:r>
          </w:p>
          <w:p w14:paraId="62A71B99"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DAAD33" w14:textId="77777777" w:rsidR="00620D19" w:rsidRPr="003F518C" w:rsidRDefault="00620D19" w:rsidP="00D40619">
            <w:pPr>
              <w:spacing w:after="240"/>
              <w:jc w:val="both"/>
              <w:rPr>
                <w:rFonts w:ascii="Times New Roman" w:hAnsi="Times New Roman"/>
                <w:sz w:val="20"/>
                <w:szCs w:val="20"/>
              </w:rPr>
            </w:pPr>
            <w:r w:rsidRPr="003F518C">
              <w:rPr>
                <w:rFonts w:ascii="Times New Roman" w:hAnsi="Times New Roman"/>
                <w:sz w:val="20"/>
                <w:szCs w:val="20"/>
              </w:rPr>
              <w:t>10 % od ugovorenog iznosa</w:t>
            </w:r>
          </w:p>
          <w:p w14:paraId="43335797" w14:textId="77777777" w:rsidR="00620D19" w:rsidRPr="003F518C" w:rsidRDefault="00620D19" w:rsidP="00D40619">
            <w:pPr>
              <w:spacing w:after="240"/>
              <w:jc w:val="both"/>
              <w:rPr>
                <w:rFonts w:ascii="Times New Roman" w:hAnsi="Times New Roman"/>
                <w:sz w:val="20"/>
                <w:szCs w:val="20"/>
              </w:rPr>
            </w:pPr>
          </w:p>
          <w:p w14:paraId="23B4226F"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Korekcija se može u</w:t>
            </w:r>
            <w:r w:rsidRPr="003F518C">
              <w:rPr>
                <w:rFonts w:ascii="Times New Roman" w:hAnsi="Times New Roman"/>
                <w:sz w:val="20"/>
                <w:szCs w:val="20"/>
              </w:rPr>
              <w:t>manjiti na 5 %, ovisno o ozbiljnosti nepravilnosti</w:t>
            </w:r>
          </w:p>
          <w:p w14:paraId="5099C95A" w14:textId="77777777" w:rsidR="00620D19" w:rsidRPr="00DC1AD5" w:rsidRDefault="00620D19" w:rsidP="00D40619">
            <w:pPr>
              <w:jc w:val="both"/>
              <w:rPr>
                <w:rFonts w:ascii="Times New Roman" w:hAnsi="Times New Roman"/>
                <w:strike/>
                <w:sz w:val="20"/>
                <w:szCs w:val="20"/>
              </w:rPr>
            </w:pPr>
          </w:p>
        </w:tc>
      </w:tr>
      <w:tr w:rsidR="00620D19" w:rsidRPr="00DC1AD5" w14:paraId="3170608E"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9E141E4" w14:textId="0535EABA" w:rsidR="00620D19" w:rsidRPr="00DC1AD5" w:rsidRDefault="00E22F84" w:rsidP="00D40619">
            <w:pPr>
              <w:jc w:val="right"/>
              <w:rPr>
                <w:rFonts w:ascii="Times New Roman" w:hAnsi="Times New Roman"/>
                <w:sz w:val="20"/>
                <w:szCs w:val="20"/>
              </w:rPr>
            </w:pPr>
            <w:r>
              <w:rPr>
                <w:rFonts w:ascii="Times New Roman" w:hAnsi="Times New Roman"/>
                <w:sz w:val="20"/>
                <w:szCs w:val="20"/>
              </w:rPr>
              <w:lastRenderedPageBreak/>
              <w:t>9</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1A98C03"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31F46FC8" w14:textId="77777777" w:rsidR="00620D19" w:rsidRDefault="00620D19" w:rsidP="00D40619">
            <w:pPr>
              <w:jc w:val="both"/>
              <w:rPr>
                <w:rFonts w:ascii="Times New Roman" w:hAnsi="Times New Roman"/>
                <w:sz w:val="20"/>
                <w:szCs w:val="20"/>
              </w:rPr>
            </w:pPr>
            <w:r w:rsidRPr="00DC1AD5">
              <w:rPr>
                <w:rFonts w:ascii="Times New Roman" w:hAnsi="Times New Roman"/>
                <w:sz w:val="20"/>
                <w:szCs w:val="20"/>
              </w:rPr>
              <w:t>Prilikom pregled</w:t>
            </w:r>
            <w:r>
              <w:rPr>
                <w:rFonts w:ascii="Times New Roman" w:hAnsi="Times New Roman"/>
                <w:sz w:val="20"/>
                <w:szCs w:val="20"/>
              </w:rPr>
              <w:t>a</w:t>
            </w:r>
            <w:r w:rsidRPr="00DC1AD5">
              <w:rPr>
                <w:rFonts w:ascii="Times New Roman" w:hAnsi="Times New Roman"/>
                <w:sz w:val="20"/>
                <w:szCs w:val="20"/>
              </w:rPr>
              <w:t xml:space="preserve"> i ocjene ponuda nije zatražen</w:t>
            </w:r>
            <w:r>
              <w:rPr>
                <w:rFonts w:ascii="Times New Roman" w:hAnsi="Times New Roman"/>
                <w:sz w:val="20"/>
                <w:szCs w:val="20"/>
              </w:rPr>
              <w:t>o pojašnjenje ili</w:t>
            </w:r>
            <w:r w:rsidRPr="00DC1AD5">
              <w:rPr>
                <w:rFonts w:ascii="Times New Roman" w:hAnsi="Times New Roman"/>
                <w:sz w:val="20"/>
                <w:szCs w:val="20"/>
              </w:rPr>
              <w:t xml:space="preserve"> dopuna ponuda od sv</w:t>
            </w:r>
            <w:r w:rsidR="0006691C">
              <w:rPr>
                <w:rFonts w:ascii="Times New Roman" w:hAnsi="Times New Roman"/>
                <w:sz w:val="20"/>
                <w:szCs w:val="20"/>
              </w:rPr>
              <w:t>ih ponuditelja, na jednak način, a isto je rezultiralo pogrešnim odabirom.</w:t>
            </w:r>
          </w:p>
          <w:p w14:paraId="106D342C" w14:textId="097C935D" w:rsidR="0006691C" w:rsidRPr="00DC1AD5" w:rsidRDefault="0006691C" w:rsidP="00D40619">
            <w:pPr>
              <w:jc w:val="both"/>
              <w:rPr>
                <w:rFonts w:ascii="Times New Roman" w:hAnsi="Times New Roman"/>
                <w:sz w:val="20"/>
                <w:szCs w:val="20"/>
              </w:rPr>
            </w:pPr>
            <w:r>
              <w:rPr>
                <w:rFonts w:ascii="Times New Roman" w:hAnsi="Times New Roman"/>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487730CF" w14:textId="6FAD572E" w:rsidR="00620D19" w:rsidRPr="00DC1AD5" w:rsidRDefault="00E22F84" w:rsidP="00D40619">
            <w:pPr>
              <w:spacing w:after="240"/>
              <w:jc w:val="both"/>
              <w:rPr>
                <w:rFonts w:ascii="Times New Roman" w:hAnsi="Times New Roman"/>
                <w:sz w:val="20"/>
                <w:szCs w:val="20"/>
              </w:rPr>
            </w:pPr>
            <w:r>
              <w:rPr>
                <w:rFonts w:ascii="Times New Roman" w:hAnsi="Times New Roman"/>
                <w:sz w:val="20"/>
                <w:szCs w:val="20"/>
              </w:rPr>
              <w:t xml:space="preserve">25 </w:t>
            </w:r>
            <w:r w:rsidR="00620D19" w:rsidRPr="00DC1AD5">
              <w:rPr>
                <w:rFonts w:ascii="Times New Roman" w:hAnsi="Times New Roman"/>
                <w:sz w:val="20"/>
                <w:szCs w:val="20"/>
              </w:rPr>
              <w:t>%</w:t>
            </w:r>
            <w:r w:rsidR="00620D19">
              <w:rPr>
                <w:rFonts w:ascii="Times New Roman" w:hAnsi="Times New Roman"/>
                <w:sz w:val="20"/>
                <w:szCs w:val="20"/>
              </w:rPr>
              <w:t xml:space="preserve"> od ugovorenog iznosa</w:t>
            </w:r>
            <w:r>
              <w:rPr>
                <w:rFonts w:ascii="Times New Roman" w:hAnsi="Times New Roman"/>
                <w:sz w:val="20"/>
                <w:szCs w:val="20"/>
              </w:rPr>
              <w:t xml:space="preserve"> uz mogućnost umanjenja na 10% ili 5% ovisno o ozbiljnosti nepravilnosti</w:t>
            </w:r>
          </w:p>
          <w:p w14:paraId="1F985137" w14:textId="77777777" w:rsidR="00620D19" w:rsidRPr="00DC1AD5" w:rsidRDefault="00620D19" w:rsidP="00D40619">
            <w:pPr>
              <w:jc w:val="both"/>
              <w:rPr>
                <w:rFonts w:ascii="Times New Roman" w:hAnsi="Times New Roman"/>
                <w:sz w:val="20"/>
                <w:szCs w:val="20"/>
              </w:rPr>
            </w:pPr>
          </w:p>
        </w:tc>
      </w:tr>
      <w:tr w:rsidR="00620D19" w:rsidRPr="00DC1AD5" w14:paraId="6006D2F0" w14:textId="77777777" w:rsidTr="00D40619">
        <w:trPr>
          <w:trHeight w:val="765"/>
        </w:trPr>
        <w:tc>
          <w:tcPr>
            <w:tcW w:w="567" w:type="dxa"/>
            <w:vMerge w:val="restart"/>
            <w:tcBorders>
              <w:top w:val="single" w:sz="4" w:space="0" w:color="auto"/>
              <w:left w:val="single" w:sz="4" w:space="0" w:color="auto"/>
              <w:right w:val="single" w:sz="4" w:space="0" w:color="auto"/>
            </w:tcBorders>
          </w:tcPr>
          <w:p w14:paraId="3F34FC8E" w14:textId="23D1497B"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10</w:t>
            </w:r>
            <w:r w:rsidR="00620D19"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6EC9ACAC" w14:textId="77777777" w:rsidR="00620D19" w:rsidRPr="00DC1AD5" w:rsidRDefault="00620D19" w:rsidP="00D4061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nije odabran</w:t>
            </w:r>
            <w:r>
              <w:rPr>
                <w:rFonts w:ascii="Times New Roman" w:hAnsi="Times New Roman"/>
                <w:sz w:val="20"/>
                <w:szCs w:val="20"/>
              </w:rPr>
              <w:t>a</w:t>
            </w:r>
            <w:r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49F24190"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Kriterij odabira ili ponderi navedeni u pozivu na dostavu ponude </w:t>
            </w:r>
          </w:p>
          <w:p w14:paraId="6DCA0D8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w:t>
            </w:r>
            <w:r w:rsidRPr="00526530">
              <w:rPr>
                <w:rFonts w:ascii="Times New Roman" w:hAnsi="Times New Roman"/>
                <w:sz w:val="20"/>
                <w:szCs w:val="20"/>
              </w:rPr>
              <w:t>nisu uzeti u obzir prilikom ocjene ponude</w:t>
            </w:r>
          </w:p>
          <w:p w14:paraId="7B76A4B3"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 ili</w:t>
            </w:r>
          </w:p>
          <w:p w14:paraId="11995626"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b) dodatni kriterij odabira nije javno objavljen a isti je uzet u obzir prilikom ocjenjivanja ponude</w:t>
            </w:r>
          </w:p>
          <w:p w14:paraId="428AB1AB" w14:textId="77777777" w:rsidR="00620D19" w:rsidRPr="00526530"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76209" w14:textId="77777777" w:rsidR="00E22F84" w:rsidRPr="00CE753A" w:rsidRDefault="00E22F84" w:rsidP="00E22F84">
            <w:pPr>
              <w:jc w:val="both"/>
              <w:rPr>
                <w:rFonts w:ascii="Times New Roman" w:hAnsi="Times New Roman"/>
                <w:sz w:val="20"/>
                <w:szCs w:val="20"/>
              </w:rPr>
            </w:pPr>
            <w:r>
              <w:rPr>
                <w:rFonts w:ascii="Times New Roman" w:hAnsi="Times New Roman"/>
                <w:sz w:val="20"/>
                <w:szCs w:val="20"/>
              </w:rPr>
              <w:t xml:space="preserve">25 </w:t>
            </w:r>
            <w:r w:rsidRPr="00CE753A">
              <w:rPr>
                <w:rFonts w:ascii="Times New Roman" w:hAnsi="Times New Roman"/>
                <w:sz w:val="20"/>
                <w:szCs w:val="20"/>
              </w:rPr>
              <w:t>% od ugovorenog iznosa</w:t>
            </w:r>
            <w:r>
              <w:rPr>
                <w:rFonts w:ascii="Times New Roman" w:hAnsi="Times New Roman"/>
                <w:sz w:val="20"/>
                <w:szCs w:val="20"/>
              </w:rPr>
              <w:t xml:space="preserve"> uz mogućnost umanjenja na 10% ili 5%, ovisno o ozbiljnosti nepravilnosti </w:t>
            </w:r>
          </w:p>
          <w:p w14:paraId="5EC25369" w14:textId="77777777" w:rsidR="00620D19" w:rsidRPr="00526530" w:rsidRDefault="00620D19" w:rsidP="00D40619">
            <w:pPr>
              <w:spacing w:after="240"/>
              <w:jc w:val="both"/>
              <w:rPr>
                <w:rFonts w:ascii="Times New Roman" w:hAnsi="Times New Roman"/>
                <w:sz w:val="20"/>
                <w:szCs w:val="20"/>
              </w:rPr>
            </w:pPr>
          </w:p>
        </w:tc>
      </w:tr>
      <w:tr w:rsidR="00620D19" w:rsidRPr="00DC1AD5" w14:paraId="0A5C4B93" w14:textId="77777777" w:rsidTr="00D40619">
        <w:trPr>
          <w:trHeight w:val="1080"/>
        </w:trPr>
        <w:tc>
          <w:tcPr>
            <w:tcW w:w="567" w:type="dxa"/>
            <w:vMerge/>
            <w:tcBorders>
              <w:left w:val="single" w:sz="4" w:space="0" w:color="auto"/>
              <w:bottom w:val="single" w:sz="4" w:space="0" w:color="auto"/>
              <w:right w:val="single" w:sz="4" w:space="0" w:color="auto"/>
            </w:tcBorders>
          </w:tcPr>
          <w:p w14:paraId="00D71B55" w14:textId="77777777" w:rsidR="00620D19" w:rsidRPr="00DC1AD5" w:rsidRDefault="00620D19" w:rsidP="00D4061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57402CB2" w14:textId="77777777" w:rsidR="00620D19" w:rsidRPr="00DC1AD5" w:rsidRDefault="00620D19" w:rsidP="00D40619">
            <w:pPr>
              <w:widowControl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F748704" w14:textId="77777777" w:rsidR="00620D19" w:rsidRPr="00526530" w:rsidRDefault="00620D19" w:rsidP="00E22F84">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46C5A1B" w14:textId="44725D8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 </w:t>
            </w:r>
          </w:p>
          <w:p w14:paraId="4BC97362" w14:textId="77777777" w:rsidR="00620D19" w:rsidRPr="00526530" w:rsidRDefault="00620D19" w:rsidP="00D40619">
            <w:pPr>
              <w:spacing w:after="240"/>
              <w:jc w:val="both"/>
              <w:rPr>
                <w:rFonts w:ascii="Times New Roman" w:hAnsi="Times New Roman"/>
                <w:sz w:val="20"/>
                <w:szCs w:val="20"/>
              </w:rPr>
            </w:pPr>
          </w:p>
        </w:tc>
      </w:tr>
      <w:tr w:rsidR="00620D19" w:rsidRPr="00DC1AD5" w14:paraId="720277AF"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1CBF922" w14:textId="45DCA6FA"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1</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9213FB4" w14:textId="77777777"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Ponuda odabranog ponuditelja nije u skladu s tehničkim specifikacijama iz poziva na dostavu ponuda.</w:t>
            </w:r>
          </w:p>
          <w:p w14:paraId="6B95B8A0" w14:textId="77777777" w:rsidR="00620D19" w:rsidRPr="00DC1AD5" w:rsidRDefault="00620D19" w:rsidP="00D40619">
            <w:pPr>
              <w:widowControl w:val="0"/>
              <w:jc w:val="both"/>
              <w:rPr>
                <w:rFonts w:ascii="Times New Roman" w:hAnsi="Times New Roman"/>
                <w:sz w:val="20"/>
                <w:szCs w:val="20"/>
              </w:rPr>
            </w:pPr>
          </w:p>
          <w:p w14:paraId="69D8C2F7" w14:textId="77777777" w:rsidR="00620D19" w:rsidRPr="00DC1AD5" w:rsidRDefault="00620D19" w:rsidP="00D40619">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BBC6CDA" w14:textId="56AD4FB5"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p>
          <w:p w14:paraId="46A8A8FB" w14:textId="77777777" w:rsidR="00620D19" w:rsidRPr="00DC1AD5" w:rsidRDefault="00620D19" w:rsidP="00D40619">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4F679174" w14:textId="143AEC4D" w:rsidR="00620D19" w:rsidRDefault="00E22F84" w:rsidP="00D40619">
            <w:pPr>
              <w:spacing w:after="240"/>
              <w:jc w:val="both"/>
              <w:rPr>
                <w:rFonts w:ascii="Times New Roman" w:hAnsi="Times New Roman"/>
                <w:sz w:val="20"/>
                <w:szCs w:val="20"/>
              </w:rPr>
            </w:pPr>
            <w:r>
              <w:rPr>
                <w:rFonts w:ascii="Times New Roman" w:hAnsi="Times New Roman"/>
                <w:sz w:val="20"/>
                <w:szCs w:val="20"/>
              </w:rPr>
              <w:t>25</w:t>
            </w:r>
            <w:r w:rsidR="00620D19">
              <w:rPr>
                <w:rFonts w:ascii="Times New Roman" w:hAnsi="Times New Roman"/>
                <w:sz w:val="20"/>
                <w:szCs w:val="20"/>
              </w:rPr>
              <w:t xml:space="preserve"> </w:t>
            </w:r>
            <w:r w:rsidR="00620D19" w:rsidRPr="00DC1AD5">
              <w:rPr>
                <w:rFonts w:ascii="Times New Roman" w:hAnsi="Times New Roman"/>
                <w:sz w:val="20"/>
                <w:szCs w:val="20"/>
              </w:rPr>
              <w:t xml:space="preserve">% </w:t>
            </w:r>
            <w:r>
              <w:t xml:space="preserve"> </w:t>
            </w:r>
            <w:r w:rsidRPr="00E22F84">
              <w:rPr>
                <w:rFonts w:ascii="Times New Roman" w:hAnsi="Times New Roman"/>
                <w:sz w:val="20"/>
                <w:szCs w:val="20"/>
              </w:rPr>
              <w:t>od ugovorenog iznosa uz mogućnost umanjenja na 10% ili 5%, ovisno o ozbiljnosti nepravilnosti</w:t>
            </w:r>
            <w:r>
              <w:rPr>
                <w:rFonts w:ascii="Times New Roman" w:hAnsi="Times New Roman"/>
                <w:sz w:val="20"/>
                <w:szCs w:val="20"/>
              </w:rPr>
              <w:t>.</w:t>
            </w:r>
          </w:p>
          <w:p w14:paraId="5343FB09" w14:textId="03A42C6A" w:rsidR="00620D19" w:rsidRPr="00DC1AD5" w:rsidRDefault="00620D19" w:rsidP="00E22F84">
            <w:pPr>
              <w:spacing w:after="240"/>
              <w:jc w:val="both"/>
              <w:rPr>
                <w:rFonts w:ascii="Times New Roman" w:hAnsi="Times New Roman"/>
                <w:sz w:val="20"/>
                <w:szCs w:val="20"/>
              </w:rPr>
            </w:pPr>
            <w:r w:rsidRPr="00E165A8">
              <w:rPr>
                <w:rFonts w:ascii="Times New Roman" w:hAnsi="Times New Roman"/>
                <w:sz w:val="20"/>
                <w:szCs w:val="20"/>
              </w:rPr>
              <w:t xml:space="preserve">Ukoliko stavke troškovnika zahvaćene nepravilnošću čine manje od 5% ukupne vrijednosti ugovora </w:t>
            </w:r>
            <w:r w:rsidR="00E22F84">
              <w:rPr>
                <w:rFonts w:ascii="Times New Roman" w:hAnsi="Times New Roman"/>
                <w:sz w:val="20"/>
                <w:szCs w:val="20"/>
              </w:rPr>
              <w:t>te ukoliko se radi o stavkama koje su sporedne prirode i nemaju utjecaj na krug potencijalnih ponuditelja</w:t>
            </w:r>
            <w:r w:rsidRPr="00E165A8">
              <w:rPr>
                <w:rFonts w:ascii="Times New Roman" w:hAnsi="Times New Roman"/>
                <w:sz w:val="20"/>
                <w:szCs w:val="20"/>
              </w:rPr>
              <w:t>, u iznimnim i opravdanim slučajevima, moguće je odstupiti od razine financijske korekcije zadane u ovim Pravilima</w:t>
            </w:r>
          </w:p>
        </w:tc>
      </w:tr>
      <w:tr w:rsidR="00620D19" w:rsidRPr="00DC1AD5" w14:paraId="302625DD"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63B67899" w14:textId="1F6364EB"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2</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A3D6184"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Izmjene uvjeta poziva na dostavu ponuda tijekom i nakon okončanja postupka</w:t>
            </w:r>
          </w:p>
          <w:p w14:paraId="4FD30049" w14:textId="77777777" w:rsidR="00620D19" w:rsidRPr="00DC1AD5" w:rsidRDefault="00620D19" w:rsidP="00D40619">
            <w:pPr>
              <w:jc w:val="both"/>
              <w:rPr>
                <w:rFonts w:ascii="Times New Roman" w:hAnsi="Times New Roman"/>
                <w:sz w:val="20"/>
                <w:szCs w:val="20"/>
              </w:rPr>
            </w:pPr>
          </w:p>
          <w:p w14:paraId="6CBEC99B" w14:textId="77777777" w:rsidR="00620D19" w:rsidRPr="00DC1AD5" w:rsidRDefault="00620D19" w:rsidP="00D40619">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E493E62"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0AEB3835"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nisu zatražena, iako su navedena u pozivu na dostavu ponuda,povoljniji uvjeti </w:t>
            </w:r>
            <w:r w:rsidRPr="00DC1AD5">
              <w:rPr>
                <w:rFonts w:ascii="Times New Roman" w:hAnsi="Times New Roman"/>
                <w:sz w:val="20"/>
                <w:szCs w:val="20"/>
              </w:rPr>
              <w:lastRenderedPageBreak/>
              <w:t xml:space="preserve">plaćanja </w:t>
            </w:r>
            <w:r>
              <w:rPr>
                <w:rFonts w:ascii="Times New Roman" w:hAnsi="Times New Roman"/>
                <w:sz w:val="20"/>
                <w:szCs w:val="20"/>
              </w:rPr>
              <w:t>(uključujući povećanje zajmova),</w:t>
            </w:r>
          </w:p>
          <w:p w14:paraId="7CD7ED71"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2BCFDFE"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produženi rokovi isporuke,</w:t>
            </w:r>
          </w:p>
          <w:p w14:paraId="2768A928" w14:textId="77777777" w:rsidR="00620D19" w:rsidRPr="00DC1AD5" w:rsidRDefault="00620D19" w:rsidP="00D40619">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2E19A1" w14:textId="77777777" w:rsidR="00620D19" w:rsidRPr="00DC1AD5" w:rsidRDefault="00620D19" w:rsidP="00D40619">
            <w:pPr>
              <w:jc w:val="both"/>
              <w:rPr>
                <w:rFonts w:ascii="Times New Roman" w:hAnsi="Times New Roman"/>
                <w:sz w:val="20"/>
                <w:szCs w:val="20"/>
              </w:rPr>
            </w:pPr>
          </w:p>
          <w:p w14:paraId="049A2BE1" w14:textId="77777777" w:rsidR="00620D19" w:rsidRPr="00DC1AD5"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9209EA"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lastRenderedPageBreak/>
              <w:t xml:space="preserve">25% od ugovorenog iznosa </w:t>
            </w:r>
          </w:p>
          <w:p w14:paraId="6293322B" w14:textId="77777777" w:rsidR="00620D19" w:rsidRPr="00DC1AD5" w:rsidRDefault="00620D19" w:rsidP="00D40619">
            <w:pPr>
              <w:jc w:val="both"/>
              <w:rPr>
                <w:rFonts w:ascii="Times New Roman" w:hAnsi="Times New Roman"/>
                <w:sz w:val="20"/>
                <w:szCs w:val="20"/>
              </w:rPr>
            </w:pPr>
          </w:p>
          <w:p w14:paraId="43F8857F" w14:textId="77777777" w:rsidR="00620D19" w:rsidRPr="00DC1AD5" w:rsidRDefault="00620D19" w:rsidP="00D40619">
            <w:pPr>
              <w:spacing w:after="240"/>
              <w:jc w:val="both"/>
              <w:rPr>
                <w:rFonts w:ascii="Times New Roman" w:hAnsi="Times New Roman"/>
                <w:sz w:val="20"/>
                <w:szCs w:val="20"/>
              </w:rPr>
            </w:pPr>
          </w:p>
        </w:tc>
      </w:tr>
      <w:tr w:rsidR="00620D19" w:rsidRPr="00DC1AD5" w14:paraId="3ED9B347" w14:textId="77777777" w:rsidTr="00D40619">
        <w:trPr>
          <w:trHeight w:val="5519"/>
        </w:trPr>
        <w:tc>
          <w:tcPr>
            <w:tcW w:w="567" w:type="dxa"/>
            <w:tcBorders>
              <w:top w:val="single" w:sz="4" w:space="0" w:color="auto"/>
              <w:left w:val="single" w:sz="4" w:space="0" w:color="auto"/>
              <w:right w:val="single" w:sz="4" w:space="0" w:color="auto"/>
            </w:tcBorders>
          </w:tcPr>
          <w:p w14:paraId="42876920" w14:textId="77777777" w:rsidR="00620D19" w:rsidRPr="00DC1AD5" w:rsidRDefault="00620D19" w:rsidP="00D40619">
            <w:pPr>
              <w:jc w:val="right"/>
              <w:rPr>
                <w:rFonts w:ascii="Times New Roman" w:hAnsi="Times New Roman"/>
                <w:sz w:val="20"/>
                <w:szCs w:val="20"/>
              </w:rPr>
            </w:pPr>
            <w:r>
              <w:rPr>
                <w:rFonts w:ascii="Times New Roman" w:hAnsi="Times New Roman"/>
                <w:sz w:val="20"/>
                <w:szCs w:val="20"/>
              </w:rPr>
              <w:t>15</w:t>
            </w:r>
            <w:r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5FD8C24C"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Izmjene ugovora o nabavi tijekom njegovog trajanja.</w:t>
            </w:r>
          </w:p>
          <w:p w14:paraId="19A2B700" w14:textId="77777777" w:rsidR="00620D19" w:rsidRPr="00526530" w:rsidRDefault="00620D19" w:rsidP="00D40619">
            <w:pPr>
              <w:autoSpaceDE w:val="0"/>
              <w:autoSpaceDN w:val="0"/>
              <w:adjustRightInd w:val="0"/>
              <w:jc w:val="both"/>
              <w:rPr>
                <w:rFonts w:ascii="Times New Roman" w:hAnsi="Times New Roman"/>
                <w:sz w:val="20"/>
                <w:szCs w:val="20"/>
              </w:rPr>
            </w:pPr>
          </w:p>
          <w:p w14:paraId="1253493A"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Izmjena se smatra značajnom ako </w:t>
            </w:r>
            <w:r w:rsidRPr="00526530">
              <w:rPr>
                <w:rFonts w:ascii="Times New Roman" w:hAnsi="Times New Roman"/>
                <w:sz w:val="20"/>
                <w:szCs w:val="20"/>
                <w:vertAlign w:val="superscript"/>
              </w:rPr>
              <w:footnoteReference w:id="15"/>
            </w:r>
            <w:r w:rsidRPr="00526530">
              <w:rPr>
                <w:rFonts w:ascii="Times New Roman" w:hAnsi="Times New Roman"/>
                <w:sz w:val="20"/>
                <w:szCs w:val="20"/>
              </w:rPr>
              <w:t>:</w:t>
            </w:r>
          </w:p>
          <w:p w14:paraId="202D01D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se</w:t>
            </w:r>
            <w:r w:rsidRPr="00526530">
              <w:rPr>
                <w:rFonts w:ascii="Times New Roman" w:hAnsi="Times New Roman"/>
                <w:sz w:val="20"/>
                <w:szCs w:val="20"/>
              </w:rPr>
              <w:t xml:space="preserve"> izmjenom unosi uvjet</w:t>
            </w:r>
            <w:r>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79ABC7A0" w14:textId="77777777" w:rsidR="00620D19" w:rsidRPr="00526530" w:rsidRDefault="00620D19" w:rsidP="00D40619">
            <w:pPr>
              <w:autoSpaceDE w:val="0"/>
              <w:autoSpaceDN w:val="0"/>
              <w:adjustRightInd w:val="0"/>
              <w:jc w:val="both"/>
              <w:rPr>
                <w:rFonts w:ascii="Times New Roman" w:hAnsi="Times New Roman"/>
                <w:sz w:val="20"/>
                <w:szCs w:val="20"/>
              </w:rPr>
            </w:pPr>
          </w:p>
          <w:p w14:paraId="4E164C5F"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487CAD1B" w14:textId="77777777" w:rsidR="00620D19" w:rsidRPr="00526530" w:rsidRDefault="00620D19" w:rsidP="00D40619">
            <w:pPr>
              <w:autoSpaceDE w:val="0"/>
              <w:autoSpaceDN w:val="0"/>
              <w:adjustRightInd w:val="0"/>
              <w:jc w:val="both"/>
              <w:rPr>
                <w:rFonts w:ascii="Times New Roman" w:hAnsi="Times New Roman"/>
                <w:sz w:val="20"/>
                <w:szCs w:val="20"/>
              </w:rPr>
            </w:pPr>
          </w:p>
          <w:p w14:paraId="7209C16B"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7B4E1330" w14:textId="77777777" w:rsidR="00620D19" w:rsidRPr="00526530" w:rsidRDefault="00620D19" w:rsidP="00D40619">
            <w:pPr>
              <w:autoSpaceDE w:val="0"/>
              <w:autoSpaceDN w:val="0"/>
              <w:adjustRightInd w:val="0"/>
              <w:ind w:left="390"/>
              <w:jc w:val="both"/>
              <w:rPr>
                <w:rFonts w:ascii="Times New Roman" w:hAnsi="Times New Roman"/>
                <w:sz w:val="20"/>
                <w:szCs w:val="20"/>
              </w:rPr>
            </w:pPr>
          </w:p>
          <w:p w14:paraId="7D43193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122C1C4B" w14:textId="77777777" w:rsidR="00620D19" w:rsidRPr="00526530" w:rsidRDefault="00620D19" w:rsidP="00D40619">
            <w:pPr>
              <w:jc w:val="both"/>
              <w:rPr>
                <w:rFonts w:ascii="Times New Roman" w:hAnsi="Times New Roman"/>
                <w:sz w:val="20"/>
                <w:szCs w:val="20"/>
              </w:rPr>
            </w:pPr>
          </w:p>
          <w:p w14:paraId="414628B6" w14:textId="77777777" w:rsidR="00620D19" w:rsidRPr="00526530" w:rsidRDefault="00620D19" w:rsidP="00D40619">
            <w:pPr>
              <w:jc w:val="both"/>
              <w:rPr>
                <w:rFonts w:ascii="Times New Roman" w:hAnsi="Times New Roman"/>
                <w:sz w:val="20"/>
                <w:szCs w:val="20"/>
              </w:rPr>
            </w:pPr>
          </w:p>
          <w:p w14:paraId="3B94A230" w14:textId="77777777" w:rsidR="00620D19" w:rsidRPr="00526530" w:rsidRDefault="00620D19" w:rsidP="00D4061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01EDDA2"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Bitni elementi sklapanja ugovora uključuju, ali nisu ograničeni na, cijenu, prirodu radova, rok završetka, uvjete plaćanja i korištene materijale. </w:t>
            </w:r>
          </w:p>
          <w:p w14:paraId="4B2973A8" w14:textId="77777777" w:rsidR="00620D19" w:rsidRPr="00526530" w:rsidRDefault="00620D19" w:rsidP="00D40619">
            <w:pPr>
              <w:autoSpaceDE w:val="0"/>
              <w:autoSpaceDN w:val="0"/>
              <w:adjustRightInd w:val="0"/>
              <w:jc w:val="both"/>
              <w:rPr>
                <w:rFonts w:ascii="Times New Roman" w:hAnsi="Times New Roman"/>
                <w:sz w:val="20"/>
                <w:szCs w:val="20"/>
              </w:rPr>
            </w:pPr>
          </w:p>
          <w:p w14:paraId="1046CBC7"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Uvijek je nužno napraviti analize za svaki pojedinačni slučaj što je bitan elemen</w:t>
            </w:r>
            <w:r>
              <w:rPr>
                <w:rFonts w:ascii="Times New Roman" w:hAnsi="Times New Roman"/>
                <w:sz w:val="20"/>
                <w:szCs w:val="20"/>
              </w:rPr>
              <w:t>t</w:t>
            </w:r>
          </w:p>
        </w:tc>
        <w:tc>
          <w:tcPr>
            <w:tcW w:w="2126" w:type="dxa"/>
            <w:tcBorders>
              <w:top w:val="single" w:sz="4" w:space="0" w:color="auto"/>
              <w:left w:val="single" w:sz="4" w:space="0" w:color="auto"/>
              <w:bottom w:val="single" w:sz="4" w:space="0" w:color="auto"/>
              <w:right w:val="single" w:sz="4" w:space="0" w:color="auto"/>
            </w:tcBorders>
          </w:tcPr>
          <w:p w14:paraId="0704394F"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25% ugovorene cijene  i</w:t>
            </w:r>
          </w:p>
          <w:p w14:paraId="48173F06" w14:textId="77777777" w:rsidR="00620D19" w:rsidRPr="00526530" w:rsidRDefault="00620D19" w:rsidP="00D40619">
            <w:pPr>
              <w:jc w:val="both"/>
              <w:rPr>
                <w:rFonts w:ascii="Times New Roman" w:hAnsi="Times New Roman"/>
                <w:sz w:val="20"/>
                <w:szCs w:val="20"/>
              </w:rPr>
            </w:pPr>
            <w:r>
              <w:rPr>
                <w:rFonts w:ascii="Times New Roman" w:hAnsi="Times New Roman"/>
                <w:sz w:val="20"/>
                <w:szCs w:val="20"/>
              </w:rPr>
              <w:t>vrijednosti dodatnog iznosa ugovora proizašlog iz izmjene elemenata ugovora</w:t>
            </w:r>
          </w:p>
        </w:tc>
      </w:tr>
      <w:tr w:rsidR="00620D19" w:rsidRPr="009E5598" w14:paraId="51A44355"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40BF8C6D"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17</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AFF14"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C984EB2"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A0FF7D9" w14:textId="77777777" w:rsidR="00620D19" w:rsidRPr="00621C29" w:rsidRDefault="00620D19" w:rsidP="00D40619">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620D19" w:rsidRPr="009E5598" w14:paraId="3186CE3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25B7E554"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AE58C01"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7338B696"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p w14:paraId="61C1897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C43096" w14:textId="77777777" w:rsidR="00620D19" w:rsidRPr="00621C29" w:rsidRDefault="00620D19" w:rsidP="00D40619">
            <w:pPr>
              <w:spacing w:before="240" w:after="240"/>
              <w:jc w:val="both"/>
              <w:rPr>
                <w:rFonts w:ascii="Times New Roman" w:eastAsiaTheme="minorHAnsi" w:hAnsi="Times New Roman" w:cstheme="minorBidi"/>
                <w:bCs/>
                <w:sz w:val="20"/>
                <w:szCs w:val="20"/>
              </w:rPr>
            </w:pPr>
            <w:r w:rsidRPr="00621C29">
              <w:rPr>
                <w:rFonts w:ascii="Times New Roman" w:eastAsiaTheme="minorHAnsi" w:hAnsi="Times New Roman" w:cstheme="minorBidi"/>
                <w:bCs/>
                <w:sz w:val="20"/>
                <w:szCs w:val="20"/>
              </w:rPr>
              <w:t>100 % korekcija troška na koji se odnosi</w:t>
            </w:r>
          </w:p>
          <w:p w14:paraId="7988E2D3" w14:textId="77777777" w:rsidR="00620D19" w:rsidRPr="00621C29" w:rsidRDefault="00620D19" w:rsidP="00D40619">
            <w:pPr>
              <w:spacing w:before="240" w:after="240"/>
              <w:jc w:val="both"/>
              <w:rPr>
                <w:rFonts w:ascii="Times New Roman" w:eastAsiaTheme="minorHAnsi" w:hAnsi="Times New Roman" w:cstheme="minorBidi"/>
                <w:bCs/>
                <w:sz w:val="20"/>
                <w:szCs w:val="20"/>
              </w:rPr>
            </w:pPr>
          </w:p>
          <w:p w14:paraId="1372ADE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r>
    </w:tbl>
    <w:p w14:paraId="1BA0DBA9" w14:textId="77777777" w:rsidR="00620D19" w:rsidRDefault="00620D19" w:rsidP="00620D19">
      <w:pPr>
        <w:tabs>
          <w:tab w:val="left" w:pos="2040"/>
        </w:tabs>
        <w:rPr>
          <w:rFonts w:ascii="Times New Roman" w:eastAsia="Calibri" w:hAnsi="Times New Roman" w:cs="Times New Roman"/>
          <w:b/>
        </w:rPr>
      </w:pPr>
    </w:p>
    <w:p w14:paraId="05179C2B" w14:textId="77777777" w:rsidR="00620D19" w:rsidRPr="00DC1AD5" w:rsidRDefault="00620D19" w:rsidP="00620D19">
      <w:pPr>
        <w:tabs>
          <w:tab w:val="left" w:pos="2040"/>
        </w:tabs>
        <w:rPr>
          <w:rFonts w:ascii="Times New Roman" w:eastAsia="Calibri" w:hAnsi="Times New Roman" w:cs="Times New Roman"/>
          <w:b/>
        </w:rPr>
      </w:pPr>
      <w:r>
        <w:rPr>
          <w:rFonts w:ascii="Times New Roman" w:eastAsia="Calibri" w:hAnsi="Times New Roman" w:cs="Times New Roman"/>
          <w:b/>
        </w:rPr>
        <w:t xml:space="preserve">                                                                           </w:t>
      </w:r>
      <w:r w:rsidRPr="00DC1AD5">
        <w:rPr>
          <w:rFonts w:ascii="Times New Roman" w:eastAsia="Calibri" w:hAnsi="Times New Roman" w:cs="Times New Roman"/>
          <w:b/>
        </w:rPr>
        <w:t>Prilog 3</w:t>
      </w:r>
      <w:r>
        <w:rPr>
          <w:rFonts w:ascii="Times New Roman" w:eastAsia="Calibri" w:hAnsi="Times New Roman" w:cs="Times New Roman"/>
          <w:b/>
        </w:rPr>
        <w:tab/>
      </w:r>
    </w:p>
    <w:p w14:paraId="75CED2D1"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1A7A9AC8" w14:textId="77777777" w:rsidR="00620D19" w:rsidRPr="00DC1AD5" w:rsidRDefault="00620D19" w:rsidP="00620D19">
      <w:pPr>
        <w:spacing w:before="0" w:after="0"/>
        <w:contextualSpacing/>
        <w:jc w:val="center"/>
        <w:rPr>
          <w:rFonts w:ascii="Times New Roman" w:eastAsia="Calibri" w:hAnsi="Times New Roman" w:cs="Times New Roman"/>
          <w:sz w:val="20"/>
          <w:szCs w:val="20"/>
        </w:rPr>
      </w:pPr>
    </w:p>
    <w:p w14:paraId="6C90B20F"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nepravilnosti izuzev nepravilnosti u postupcima (javnih) nabava</w:t>
      </w:r>
      <w:r w:rsidRPr="00DC1AD5">
        <w:rPr>
          <w:rStyle w:val="FootnoteReference"/>
          <w:rFonts w:ascii="Times New Roman" w:hAnsi="Times New Roman" w:cs="Times New Roman"/>
          <w:b/>
          <w:lang w:eastAsia="hr-HR"/>
        </w:rPr>
        <w:footnoteReference w:id="16"/>
      </w:r>
    </w:p>
    <w:p w14:paraId="060BEDA0" w14:textId="77777777" w:rsidR="00620D19" w:rsidRPr="00DC1AD5" w:rsidRDefault="00620D19" w:rsidP="00620D19">
      <w:pPr>
        <w:spacing w:before="0" w:after="0"/>
        <w:contextualSpacing/>
        <w:rPr>
          <w:rFonts w:ascii="Times New Roman" w:eastAsia="Calibri" w:hAnsi="Times New Roman" w:cs="Times New Roman"/>
          <w:sz w:val="20"/>
          <w:szCs w:val="20"/>
        </w:rPr>
      </w:pPr>
    </w:p>
    <w:p w14:paraId="12A7D67D" w14:textId="77777777" w:rsidR="00620D19" w:rsidRPr="00DC1AD5" w:rsidRDefault="00620D19" w:rsidP="00620D19">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620D19" w:rsidRPr="00DC1AD5" w14:paraId="22C3AE08" w14:textId="77777777" w:rsidTr="00D40619">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BDC3833"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64DE9B"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6ABCD798"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69A7C2A6"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3E351BD"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620D19" w:rsidRPr="00DC1AD5" w14:paraId="272159D7"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7F831BD" w14:textId="77777777" w:rsidR="00620D19" w:rsidRPr="00DC1AD5" w:rsidRDefault="00620D19" w:rsidP="00D40619">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798E86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01912A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 kojom je utvrđeno da je kazneno djelo povezano s projektnom.</w:t>
            </w:r>
          </w:p>
          <w:p w14:paraId="3CEDA34E" w14:textId="77777777" w:rsidR="00620D19" w:rsidRPr="00DC1AD5" w:rsidRDefault="00620D19" w:rsidP="00D40619">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EACE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795AB01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9834AFD"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58042AE" w14:textId="77777777" w:rsidR="00620D19" w:rsidRPr="00DC1AD5" w:rsidRDefault="00620D19" w:rsidP="00D40619">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648AE22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3F13D7CD" w14:textId="77777777" w:rsidR="00620D19" w:rsidRPr="00DC1AD5" w:rsidRDefault="00620D19" w:rsidP="00D4061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774AAC2F" w14:textId="77777777" w:rsidR="00620D19" w:rsidRPr="00DC1AD5" w:rsidRDefault="00620D19" w:rsidP="00D40619">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100 % korekcija troška na koji se odnosi</w:t>
            </w:r>
          </w:p>
          <w:p w14:paraId="06BC89AE" w14:textId="77777777" w:rsidR="00620D19" w:rsidRPr="00DC1AD5" w:rsidRDefault="00620D19" w:rsidP="00D40619">
            <w:pPr>
              <w:spacing w:before="0" w:after="0"/>
              <w:jc w:val="both"/>
              <w:rPr>
                <w:rFonts w:ascii="Times New Roman" w:eastAsia="Calibri" w:hAnsi="Times New Roman" w:cs="Times New Roman"/>
                <w:bCs/>
                <w:sz w:val="20"/>
                <w:szCs w:val="20"/>
              </w:rPr>
            </w:pPr>
          </w:p>
          <w:p w14:paraId="09FA7C6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Mogućnost smanjenja na 25% nakon procjene značaja i utjecaja nepravilnosti</w:t>
            </w:r>
          </w:p>
        </w:tc>
      </w:tr>
      <w:tr w:rsidR="00620D19" w:rsidRPr="00DC1AD5" w14:paraId="4A93B8C5" w14:textId="77777777" w:rsidTr="00D40619">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E0C85D" w14:textId="77777777" w:rsidR="00620D19" w:rsidRPr="00DC1AD5" w:rsidRDefault="00620D19" w:rsidP="00D40619">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06738CA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nije ostvaren</w:t>
            </w:r>
          </w:p>
          <w:p w14:paraId="19E88A1D" w14:textId="77777777" w:rsidR="00620D19" w:rsidRPr="002C6F6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9073608"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4B08CEC" w14:textId="0709E678" w:rsidR="00620D19" w:rsidRDefault="00620D19" w:rsidP="00D40619">
            <w:pPr>
              <w:spacing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1DB3AF9" w14:textId="2D481FF1" w:rsidR="007472CC" w:rsidRPr="002C6F65" w:rsidRDefault="007472CC" w:rsidP="00D4061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nije ostvaren.</w:t>
            </w:r>
          </w:p>
          <w:p w14:paraId="341B2688" w14:textId="77777777" w:rsidR="00620D19" w:rsidRPr="002C6F65" w:rsidRDefault="00620D19" w:rsidP="00D40619">
            <w:pPr>
              <w:spacing w:before="0" w:after="0"/>
              <w:jc w:val="both"/>
              <w:rPr>
                <w:rFonts w:ascii="Times New Roman" w:eastAsia="Calibri" w:hAnsi="Times New Roman" w:cs="Times New Roman"/>
                <w:sz w:val="20"/>
                <w:szCs w:val="20"/>
              </w:rPr>
            </w:pPr>
          </w:p>
          <w:p w14:paraId="10A1FF5C" w14:textId="77777777" w:rsidR="00620D19" w:rsidRPr="002C6F65" w:rsidRDefault="00620D19" w:rsidP="00D40619">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1CE18A1" w14:textId="77777777" w:rsidR="00620D19" w:rsidRPr="002C6F65" w:rsidRDefault="00620D19" w:rsidP="00D40619">
            <w:pPr>
              <w:spacing w:before="0" w:after="0"/>
              <w:jc w:val="both"/>
              <w:rPr>
                <w:rFonts w:ascii="Times New Roman" w:eastAsia="Calibri" w:hAnsi="Times New Roman" w:cs="Times New Roman"/>
                <w:sz w:val="18"/>
                <w:szCs w:val="18"/>
              </w:rPr>
            </w:pPr>
            <w:r w:rsidRPr="002C6F65">
              <w:rPr>
                <w:rFonts w:ascii="Times New Roman" w:eastAsia="Calibri" w:hAnsi="Times New Roman" w:cs="Times New Roman"/>
                <w:sz w:val="20"/>
                <w:szCs w:val="20"/>
              </w:rPr>
              <w:t xml:space="preserve">100% korekcija prihvatljivih troškova ugovora </w:t>
            </w:r>
          </w:p>
        </w:tc>
      </w:tr>
      <w:tr w:rsidR="00620D19" w:rsidRPr="00DC1AD5" w14:paraId="6159D1AE"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0244711" w14:textId="77777777" w:rsidR="00620D19" w:rsidRPr="00DC1AD5" w:rsidRDefault="00620D19" w:rsidP="00D40619">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AC7276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354048AE"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E310B02" w14:textId="77777777" w:rsidR="00620D19" w:rsidRPr="002C6F65" w:rsidRDefault="00620D19" w:rsidP="00D40619">
            <w:pPr>
              <w:spacing w:before="0" w:after="0"/>
              <w:jc w:val="both"/>
              <w:rPr>
                <w:rFonts w:ascii="Times New Roman" w:eastAsia="Calibri" w:hAnsi="Times New Roman" w:cs="Times New Roman"/>
                <w:sz w:val="20"/>
                <w:szCs w:val="20"/>
              </w:rPr>
            </w:pPr>
          </w:p>
          <w:p w14:paraId="5D44CACC" w14:textId="579ED7BA" w:rsidR="007472CC"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24BB512" w14:textId="310C5871" w:rsidR="007472CC" w:rsidRPr="002C6F65" w:rsidRDefault="007472CC" w:rsidP="007472C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 Pokazatelj na razini ugovora o dodjeli bespovratnih sredstava je djelomično ostvaren.</w:t>
            </w:r>
          </w:p>
          <w:p w14:paraId="3A8036BA" w14:textId="53F44696" w:rsidR="007472CC" w:rsidRPr="002C6F65" w:rsidRDefault="007472CC"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63C03FBB"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lastRenderedPageBreak/>
              <w:t>Paušalna financijska korekcija</w:t>
            </w:r>
          </w:p>
        </w:tc>
      </w:tr>
      <w:tr w:rsidR="00620D19" w:rsidRPr="00DC1AD5" w14:paraId="3EB20D20" w14:textId="77777777" w:rsidTr="00D40619">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DCDFDDD"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7290F89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primjenjuju se zahtjevi trajnosti - projekt koji uključuje ulaganje u infrastrukturu ili proizvodno ulaganje je doživjela značajne modifikacije, kao što su:</w:t>
            </w:r>
          </w:p>
          <w:p w14:paraId="3E9D11D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2AC166D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prednost </w:t>
            </w:r>
          </w:p>
          <w:p w14:paraId="5893908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301DB6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Primjeri:</w:t>
            </w:r>
          </w:p>
          <w:p w14:paraId="7EE3FD8B" w14:textId="77777777" w:rsidR="00620D19" w:rsidRPr="00DC1AD5" w:rsidRDefault="00620D19" w:rsidP="00D40619">
            <w:pPr>
              <w:spacing w:before="0" w:after="0"/>
              <w:jc w:val="both"/>
              <w:rPr>
                <w:rFonts w:ascii="Times New Roman" w:eastAsia="Calibri" w:hAnsi="Times New Roman" w:cs="Times New Roman"/>
                <w:sz w:val="20"/>
                <w:szCs w:val="20"/>
              </w:rPr>
            </w:pPr>
          </w:p>
          <w:p w14:paraId="0B82CC1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33DC34F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21E7F04C" w14:textId="77777777" w:rsidR="00620D19" w:rsidRPr="00DC1AD5" w:rsidRDefault="00620D19" w:rsidP="00D40619">
            <w:pPr>
              <w:spacing w:before="0" w:after="0"/>
              <w:jc w:val="both"/>
              <w:rPr>
                <w:rFonts w:ascii="Times New Roman" w:eastAsia="Calibri" w:hAnsi="Times New Roman" w:cs="Times New Roman"/>
                <w:sz w:val="20"/>
                <w:szCs w:val="20"/>
              </w:rPr>
            </w:pPr>
          </w:p>
          <w:p w14:paraId="59FA58EB"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743209E2" w14:textId="77777777" w:rsidR="00620D19" w:rsidRPr="00DC1AD5" w:rsidRDefault="00620D19"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Pr="00DC1AD5">
              <w:rPr>
                <w:rFonts w:ascii="Times New Roman" w:eastAsia="Calibri" w:hAnsi="Times New Roman" w:cs="Times New Roman"/>
                <w:sz w:val="20"/>
                <w:szCs w:val="20"/>
              </w:rPr>
              <w:t xml:space="preserve"> </w:t>
            </w:r>
          </w:p>
        </w:tc>
      </w:tr>
      <w:tr w:rsidR="00620D19" w:rsidRPr="00DC1AD5" w14:paraId="579E4726" w14:textId="77777777" w:rsidTr="00D40619">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AE5F5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D4B59"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A9089F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60ACE6F"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278943E5"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E1C59F0"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43E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4198C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Uslijed prestanka poslovanja, odnosno likvidacije iz razloga koji nisu posljedica socio-ekonomskih, ili vanjski faktora ili više sile.</w:t>
            </w:r>
          </w:p>
          <w:p w14:paraId="578E5D7C" w14:textId="77777777" w:rsidR="00620D19" w:rsidRPr="00DC1AD5" w:rsidRDefault="00620D19" w:rsidP="00D40619">
            <w:pPr>
              <w:spacing w:before="0" w:after="0"/>
              <w:jc w:val="both"/>
              <w:rPr>
                <w:rFonts w:ascii="Times New Roman" w:eastAsia="Calibri" w:hAnsi="Times New Roman" w:cs="Times New Roman"/>
                <w:sz w:val="20"/>
                <w:szCs w:val="20"/>
              </w:rPr>
            </w:pPr>
          </w:p>
          <w:p w14:paraId="0BA5466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E8B780C"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6DD1C4C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57FE725F"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799B"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77241A0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3F068B61" w14:textId="7811594D" w:rsidR="00620D19" w:rsidRPr="00DC1AD5" w:rsidRDefault="00620D19" w:rsidP="00BD7C9F">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(od čega je 200.000,00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bila potpora iz fondova - 67% potpora). Poduzeće je prodalo dio opreme za cijenu koja odgovara tržišnoj vrijednosti od 200.000,00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U zamjenu poduzeće je kupilo novi dio opreme za 150.000,00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koja služi za istu namjenu i osigurava planirano povećanje prihoda. Na taj način nema bitnijih izmjena </w:t>
            </w:r>
            <w:r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xml:space="preserve">, ciljevi su postignuti, ali je poduzeće pribavilo korist od 50.000,00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w:t>
            </w:r>
          </w:p>
        </w:tc>
        <w:tc>
          <w:tcPr>
            <w:tcW w:w="1235" w:type="pct"/>
            <w:tcBorders>
              <w:top w:val="single" w:sz="4" w:space="0" w:color="auto"/>
              <w:left w:val="single" w:sz="4" w:space="0" w:color="auto"/>
              <w:bottom w:val="single" w:sz="4" w:space="0" w:color="auto"/>
              <w:right w:val="single" w:sz="4" w:space="0" w:color="auto"/>
            </w:tcBorders>
          </w:tcPr>
          <w:p w14:paraId="791DDB2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096E76D7"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0F56D67F"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3773314" w14:textId="77777777" w:rsidR="00620D19" w:rsidRPr="00DC1AD5" w:rsidRDefault="00620D19" w:rsidP="00D40619">
            <w:pPr>
              <w:spacing w:before="0" w:after="0"/>
              <w:ind w:left="720"/>
              <w:jc w:val="both"/>
              <w:rPr>
                <w:rFonts w:ascii="Times New Roman" w:eastAsia="Calibri" w:hAnsi="Times New Roman" w:cs="Times New Roman"/>
                <w:sz w:val="20"/>
                <w:szCs w:val="20"/>
              </w:rPr>
            </w:pPr>
          </w:p>
          <w:p w14:paraId="2EEF5B03" w14:textId="77777777" w:rsidR="00620D19" w:rsidRPr="00DC1AD5" w:rsidRDefault="00620D19" w:rsidP="00D4061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2F8346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5A2BD082" w14:textId="77777777" w:rsidR="00620D19" w:rsidRPr="00DC1AD5" w:rsidRDefault="00620D19" w:rsidP="00D40619">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5DEAE656"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w:t>
            </w:r>
            <w:r w:rsidRPr="00DC1AD5">
              <w:rPr>
                <w:rFonts w:ascii="Times New Roman" w:eastAsia="Calibri" w:hAnsi="Times New Roman" w:cs="Times New Roman"/>
                <w:sz w:val="20"/>
                <w:szCs w:val="20"/>
                <w:lang w:eastAsia="ar-SA"/>
              </w:rPr>
              <w:lastRenderedPageBreak/>
              <w:t>ili pripreme i provedbe komunikacijskih aktivnosti -  100% troška izrade materijala ili pripreme i provedbe aktivnosti</w:t>
            </w:r>
          </w:p>
          <w:p w14:paraId="17936CA7"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2.</w:t>
            </w:r>
            <w:r w:rsidRPr="00DC1AD5">
              <w:rPr>
                <w:rFonts w:ascii="Times New Roman" w:eastAsia="Calibri" w:hAnsi="Times New Roman" w:cs="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0DBBFC5E"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7FCD5060" w14:textId="77777777" w:rsidR="00620D19" w:rsidRPr="00DC1AD5" w:rsidRDefault="00620D19" w:rsidP="00D40619">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029175DB"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2162F328"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6C16F988" w14:textId="77777777" w:rsidR="00620D19" w:rsidRPr="00DC1AD5" w:rsidRDefault="00620D19" w:rsidP="00D40619">
            <w:pPr>
              <w:spacing w:before="0" w:after="0"/>
              <w:ind w:left="360"/>
              <w:jc w:val="both"/>
              <w:rPr>
                <w:rFonts w:ascii="Times New Roman" w:eastAsia="Calibri" w:hAnsi="Times New Roman" w:cs="Times New Roman"/>
                <w:sz w:val="20"/>
                <w:szCs w:val="20"/>
              </w:rPr>
            </w:pPr>
          </w:p>
          <w:p w14:paraId="486FC97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2%-tna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0391E6F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3. </w:t>
            </w:r>
          </w:p>
        </w:tc>
      </w:tr>
      <w:tr w:rsidR="00620D19" w:rsidRPr="00DC1AD5" w14:paraId="2075AFCE"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116F792B"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C880E7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AA076CE"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financirao je i iz drugih izvora. Iznos koji je dvostruko financiran se isključuje iz prihvatljivih izdataka</w:t>
            </w:r>
          </w:p>
          <w:p w14:paraId="48FA6286"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48A2968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620D19" w:rsidRPr="00DC1AD5" w14:paraId="6F4B86CE" w14:textId="77777777" w:rsidTr="00D40619">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DE647DA"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65F64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Pravila o pojednostavljenim mogućnostima financiranja su</w:t>
            </w:r>
          </w:p>
          <w:p w14:paraId="749098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nepravilno primijenjena</w:t>
            </w:r>
          </w:p>
        </w:tc>
        <w:tc>
          <w:tcPr>
            <w:tcW w:w="2370" w:type="pct"/>
            <w:tcBorders>
              <w:top w:val="single" w:sz="4" w:space="0" w:color="auto"/>
              <w:left w:val="single" w:sz="4" w:space="0" w:color="auto"/>
              <w:bottom w:val="single" w:sz="4" w:space="0" w:color="auto"/>
              <w:right w:val="single" w:sz="4" w:space="0" w:color="auto"/>
            </w:tcBorders>
          </w:tcPr>
          <w:p w14:paraId="6A2EE3A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 Paušalni iznos financiranja za indirektne troškove i troškove osoblja</w:t>
            </w:r>
          </w:p>
          <w:p w14:paraId="23DFCA32" w14:textId="77777777" w:rsidR="00620D19" w:rsidRPr="00DC1AD5" w:rsidRDefault="00620D19" w:rsidP="00D40619">
            <w:pPr>
              <w:spacing w:before="0" w:after="0"/>
              <w:jc w:val="both"/>
              <w:rPr>
                <w:rFonts w:ascii="Times New Roman" w:eastAsia="Calibri" w:hAnsi="Times New Roman" w:cs="Times New Roman"/>
                <w:sz w:val="20"/>
                <w:szCs w:val="20"/>
              </w:rPr>
            </w:pPr>
          </w:p>
          <w:p w14:paraId="5B5C9BCE" w14:textId="5BC892F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U slučaju da se nepravilnost odnosi na izravni trošak, povezani neizravni troškovi biti će proporcionalno smanjeni. Npr.  utvrđena je nepravilnost u izravnim troškovima koja iznosi 10.000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dok su ukupni izravni troškovi projekta 500.000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Stopa za izračun neizravnih troškova je 10%, te je ukupan iznos neizravnih troškova 50.000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Financijska korekcija za neizravne troškove iznosi 10% od 10.000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 1.000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dok je ukupan iznos financijske korekcije 1.000+10.000=11.000 </w:t>
            </w:r>
            <w:r w:rsidR="00BD7C9F">
              <w:rPr>
                <w:rFonts w:ascii="Times New Roman" w:eastAsia="Calibri" w:hAnsi="Times New Roman" w:cs="Times New Roman"/>
                <w:sz w:val="20"/>
                <w:szCs w:val="20"/>
              </w:rPr>
              <w:t>eura</w:t>
            </w:r>
          </w:p>
          <w:p w14:paraId="0AD21E2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39DBA2B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Formula: proporcionalna korekcija (razlika koja nastaje nakon ponovnog izračuna)</w:t>
            </w:r>
          </w:p>
          <w:p w14:paraId="39FE63E8"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F1739D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3F7F90A3"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842D"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5C766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7DAE406A" w14:textId="77777777" w:rsidR="00620D19" w:rsidRPr="00DC1AD5" w:rsidRDefault="00620D19" w:rsidP="00D40619">
            <w:pPr>
              <w:spacing w:before="0" w:after="0"/>
              <w:jc w:val="both"/>
              <w:rPr>
                <w:rFonts w:ascii="Times New Roman" w:eastAsia="Calibri" w:hAnsi="Times New Roman" w:cs="Times New Roman"/>
                <w:sz w:val="20"/>
                <w:szCs w:val="20"/>
              </w:rPr>
            </w:pPr>
          </w:p>
          <w:p w14:paraId="20EA2BD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52A12216" w14:textId="77777777" w:rsidR="00620D19" w:rsidRPr="00DC1AD5" w:rsidRDefault="00620D19" w:rsidP="00D40619">
            <w:pPr>
              <w:spacing w:before="0" w:after="0"/>
              <w:jc w:val="both"/>
              <w:rPr>
                <w:rFonts w:ascii="Times New Roman" w:eastAsia="Calibri" w:hAnsi="Times New Roman" w:cs="Times New Roman"/>
                <w:sz w:val="20"/>
                <w:szCs w:val="20"/>
              </w:rPr>
            </w:pPr>
          </w:p>
          <w:p w14:paraId="0AA5824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A84BBC9" w14:textId="77777777" w:rsidR="00620D19" w:rsidRPr="00DC1AD5" w:rsidRDefault="00620D19" w:rsidP="00D40619">
            <w:pPr>
              <w:spacing w:before="0" w:after="0"/>
              <w:jc w:val="both"/>
              <w:rPr>
                <w:rFonts w:ascii="Times New Roman" w:eastAsia="Calibri" w:hAnsi="Times New Roman" w:cs="Times New Roman"/>
                <w:sz w:val="20"/>
                <w:szCs w:val="20"/>
              </w:rPr>
            </w:pPr>
          </w:p>
          <w:p w14:paraId="2124D282" w14:textId="1A7D31A5"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w:t>
            </w:r>
          </w:p>
          <w:p w14:paraId="1CAC797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1FBC21C6" w14:textId="77777777" w:rsidR="00620D19" w:rsidRPr="00DC1AD5" w:rsidRDefault="00620D19" w:rsidP="00D40619">
            <w:pPr>
              <w:spacing w:before="0" w:after="0"/>
              <w:jc w:val="both"/>
              <w:rPr>
                <w:rFonts w:ascii="Times New Roman" w:eastAsia="Calibri" w:hAnsi="Times New Roman" w:cs="Times New Roman"/>
                <w:sz w:val="20"/>
                <w:szCs w:val="20"/>
              </w:rPr>
            </w:pPr>
          </w:p>
          <w:p w14:paraId="0F6859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312F5925" w14:textId="77777777" w:rsidR="00620D19" w:rsidRPr="00DC1AD5" w:rsidRDefault="00620D19" w:rsidP="00D40619">
            <w:pPr>
              <w:spacing w:before="0" w:after="0"/>
              <w:jc w:val="both"/>
              <w:rPr>
                <w:rFonts w:ascii="Times New Roman" w:eastAsia="Calibri" w:hAnsi="Times New Roman" w:cs="Times New Roman"/>
                <w:sz w:val="20"/>
                <w:szCs w:val="20"/>
              </w:rPr>
            </w:pPr>
          </w:p>
          <w:p w14:paraId="007BAF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240280B6"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F10935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09F26CE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448C3C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668A9F89"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5040193E"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91331B7"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72B4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0F4D91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3C389F45" w14:textId="77777777" w:rsidR="00620D19" w:rsidRPr="00DC1AD5" w:rsidRDefault="00620D19" w:rsidP="00D40619">
            <w:pPr>
              <w:spacing w:before="0" w:after="0"/>
              <w:ind w:left="360"/>
              <w:contextualSpacing/>
              <w:jc w:val="both"/>
              <w:rPr>
                <w:rFonts w:ascii="Times New Roman" w:eastAsia="Calibri" w:hAnsi="Times New Roman" w:cs="Times New Roman"/>
                <w:sz w:val="20"/>
                <w:szCs w:val="20"/>
              </w:rPr>
            </w:pPr>
          </w:p>
          <w:p w14:paraId="6342ED1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198E48B9"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0288B1F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120BCAE"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6FF33886" w14:textId="35E4A37D"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Jedinica mjere je sat tečaja engleskog jezika za osobu koja se prekvalificira. Izračunat je jedinični trošak od 100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Projektna prijava /ugovor predviđa osposobiti 100 osoba i iskoristiti 200 sati treninga (edukacije), prema tome planirani trošak iznosi 2.000.000 </w:t>
            </w:r>
            <w:r w:rsidR="00BD7C9F">
              <w:rPr>
                <w:rFonts w:ascii="Times New Roman" w:eastAsia="Calibri" w:hAnsi="Times New Roman" w:cs="Times New Roman"/>
                <w:sz w:val="20"/>
                <w:szCs w:val="20"/>
              </w:rPr>
              <w:t>eura</w:t>
            </w:r>
            <w:r w:rsidRPr="00DC1AD5">
              <w:rPr>
                <w:rFonts w:ascii="Times New Roman" w:eastAsia="Calibri" w:hAnsi="Times New Roman" w:cs="Times New Roman"/>
                <w:sz w:val="20"/>
                <w:szCs w:val="20"/>
              </w:rPr>
              <w:t>.</w:t>
            </w:r>
          </w:p>
          <w:p w14:paraId="60CC714D"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1E23844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Provjerom nadležnog tijela utvrđeno je da je 80 osoba educirano u punom vremenu, 10 osoba je pohađalo samo 100 sati edukacije, dok 10 osoba uopće nije pohađalo edukaciju.</w:t>
            </w:r>
          </w:p>
          <w:p w14:paraId="53970B9C" w14:textId="5E6911DA"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izračunava kako slijedi: 2.000.000 – (80*200*100 + 10*100*100) = 300.000 </w:t>
            </w:r>
            <w:r w:rsidR="00BD7C9F">
              <w:rPr>
                <w:rFonts w:ascii="Times New Roman" w:eastAsia="Calibri" w:hAnsi="Times New Roman" w:cs="Times New Roman"/>
                <w:sz w:val="20"/>
                <w:szCs w:val="20"/>
              </w:rPr>
              <w:t>EUR</w:t>
            </w:r>
            <w:bookmarkStart w:id="1" w:name="_GoBack"/>
            <w:bookmarkEnd w:id="1"/>
          </w:p>
          <w:p w14:paraId="64A53BC2"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31F2646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Proporcionalna korekcija (razlika koja nastaje nakon ponovnog izračuna)</w:t>
            </w:r>
          </w:p>
          <w:p w14:paraId="3B01D473"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tc>
      </w:tr>
      <w:tr w:rsidR="00620D19" w:rsidRPr="00DC1AD5" w14:paraId="1A50526C" w14:textId="77777777" w:rsidTr="00D40619">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1534B8"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6943E7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702D9AAB" w14:textId="77777777" w:rsidR="00620D19" w:rsidRPr="00DC1AD5" w:rsidRDefault="00620D19" w:rsidP="00D40619">
            <w:pPr>
              <w:spacing w:before="0" w:after="0"/>
              <w:jc w:val="both"/>
              <w:rPr>
                <w:rFonts w:ascii="Times New Roman" w:eastAsia="Calibri" w:hAnsi="Times New Roman" w:cs="Times New Roman"/>
                <w:sz w:val="20"/>
                <w:szCs w:val="20"/>
              </w:rPr>
            </w:pPr>
          </w:p>
          <w:p w14:paraId="209395D9"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58E865E5" w14:textId="4AD02ED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Usklađenost s horizontalnim načelima,</w:t>
            </w:r>
            <w:r w:rsidR="005D3504">
              <w:rPr>
                <w:rFonts w:ascii="Times New Roman" w:eastAsia="Calibri" w:hAnsi="Times New Roman" w:cs="Times New Roman"/>
                <w:sz w:val="20"/>
                <w:szCs w:val="20"/>
              </w:rPr>
              <w:t xml:space="preserve"> načelo nenanošenja bitne štete,</w:t>
            </w:r>
            <w:r w:rsidRPr="00DC1AD5">
              <w:rPr>
                <w:rFonts w:ascii="Times New Roman" w:eastAsia="Calibri" w:hAnsi="Times New Roman" w:cs="Times New Roman"/>
                <w:sz w:val="20"/>
                <w:szCs w:val="20"/>
              </w:rPr>
              <w:t xml:space="preserve"> “neutralni utjecaj” ili drugi zahtjevi specifičnog poziva su vrednovani tijekom odabira projekta (postupka dodjele bespovratnih sredstava). Neusklađenost s horizontalnim načelima dovodi do mogućnosti isključivanja projektnog prijedloga iz postupka dodjele bespovratnih sredstav</w:t>
            </w:r>
            <w:r w:rsidR="00ED1182">
              <w:rPr>
                <w:rFonts w:ascii="Times New Roman" w:eastAsia="Calibri" w:hAnsi="Times New Roman" w:cs="Times New Roman"/>
                <w:sz w:val="20"/>
                <w:szCs w:val="20"/>
              </w:rPr>
              <w:t>a. Također, nadležno provedbeno</w:t>
            </w:r>
            <w:r w:rsidRPr="00DC1AD5">
              <w:rPr>
                <w:rFonts w:ascii="Times New Roman" w:eastAsia="Calibri" w:hAnsi="Times New Roman" w:cs="Times New Roman"/>
                <w:sz w:val="20"/>
                <w:szCs w:val="20"/>
              </w:rPr>
              <w:t xml:space="preserve"> tijelo tijekom provedbe projekta provjerava poštuju li se navedena načela.</w:t>
            </w:r>
          </w:p>
          <w:p w14:paraId="6699E7A4" w14:textId="77777777" w:rsidR="00620D19" w:rsidRPr="00DC1AD5" w:rsidRDefault="00620D19" w:rsidP="00D40619">
            <w:pPr>
              <w:spacing w:before="0" w:after="0"/>
              <w:jc w:val="both"/>
              <w:rPr>
                <w:rFonts w:ascii="Times New Roman" w:eastAsia="Calibri" w:hAnsi="Times New Roman" w:cs="Times New Roman"/>
                <w:sz w:val="20"/>
                <w:szCs w:val="20"/>
              </w:rPr>
            </w:pPr>
          </w:p>
          <w:p w14:paraId="39587C8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2AE5436" w14:textId="77777777" w:rsidR="00620D19" w:rsidRPr="00DC1AD5" w:rsidRDefault="00620D19" w:rsidP="00D40619">
            <w:pPr>
              <w:spacing w:before="0" w:after="0"/>
              <w:jc w:val="both"/>
              <w:rPr>
                <w:rFonts w:ascii="Times New Roman" w:eastAsia="Calibri" w:hAnsi="Times New Roman" w:cs="Times New Roman"/>
                <w:sz w:val="20"/>
                <w:szCs w:val="20"/>
              </w:rPr>
            </w:pPr>
          </w:p>
          <w:p w14:paraId="44E1572F" w14:textId="78B38A20" w:rsidR="00620D1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1AC6E9A2" w14:textId="12732563" w:rsidR="005D3504" w:rsidRDefault="005D3504" w:rsidP="00D40619">
            <w:pPr>
              <w:spacing w:before="0" w:after="0"/>
              <w:jc w:val="both"/>
              <w:rPr>
                <w:rFonts w:ascii="Times New Roman" w:eastAsia="Calibri" w:hAnsi="Times New Roman" w:cs="Times New Roman"/>
                <w:sz w:val="20"/>
                <w:szCs w:val="20"/>
              </w:rPr>
            </w:pPr>
          </w:p>
          <w:p w14:paraId="666E1064" w14:textId="03AA0980" w:rsidR="005D3504" w:rsidRPr="00DC1AD5" w:rsidRDefault="005D3504"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Korisnik nije poštivao načelo nenanošenja bitne štete u provedbi ugovora.</w:t>
            </w:r>
          </w:p>
          <w:p w14:paraId="13DA8F6D" w14:textId="77777777" w:rsidR="00620D19" w:rsidRPr="00DC1AD5" w:rsidRDefault="00620D19" w:rsidP="00D40619">
            <w:pPr>
              <w:spacing w:before="0" w:after="0"/>
              <w:jc w:val="both"/>
              <w:rPr>
                <w:rFonts w:ascii="Times New Roman" w:eastAsia="Calibri" w:hAnsi="Times New Roman" w:cs="Times New Roman"/>
                <w:sz w:val="20"/>
                <w:szCs w:val="20"/>
              </w:rPr>
            </w:pPr>
          </w:p>
          <w:p w14:paraId="42BD0AE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9585CF7" w14:textId="77777777" w:rsidR="00620D19" w:rsidRPr="00DC1AD5" w:rsidRDefault="00620D19" w:rsidP="00D40619">
            <w:pPr>
              <w:spacing w:before="0" w:after="0"/>
              <w:jc w:val="both"/>
              <w:rPr>
                <w:rFonts w:ascii="Times New Roman" w:eastAsia="Calibri" w:hAnsi="Times New Roman" w:cs="Times New Roman"/>
                <w:sz w:val="20"/>
                <w:szCs w:val="20"/>
              </w:rPr>
            </w:pPr>
          </w:p>
          <w:p w14:paraId="7DF3652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D7C081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korekcija (ukupni prihvatljivi troškovi projekta)</w:t>
            </w:r>
          </w:p>
        </w:tc>
      </w:tr>
      <w:tr w:rsidR="00620D19" w:rsidRPr="00DC1AD5" w14:paraId="53EBC141"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1676C5E4"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685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CB98109" w14:textId="081FF90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5D3504">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33980F49" w14:textId="77777777" w:rsidR="00620D19" w:rsidRPr="00DC1AD5" w:rsidRDefault="00620D19" w:rsidP="00D40619">
            <w:pPr>
              <w:spacing w:before="0" w:after="0"/>
              <w:jc w:val="both"/>
              <w:rPr>
                <w:rFonts w:ascii="Times New Roman" w:eastAsia="Calibri" w:hAnsi="Times New Roman" w:cs="Times New Roman"/>
                <w:sz w:val="20"/>
                <w:szCs w:val="20"/>
              </w:rPr>
            </w:pPr>
          </w:p>
          <w:p w14:paraId="6B8F354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6FFB520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1787FA1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 projektnom prijedlogu je naznačena dodatna mjera (iznad zakonskog minimuma) te je i bodovana na </w:t>
            </w:r>
            <w:r w:rsidRPr="00DC1AD5">
              <w:rPr>
                <w:rFonts w:ascii="Times New Roman" w:eastAsia="Calibri" w:hAnsi="Times New Roman" w:cs="Times New Roman"/>
                <w:sz w:val="20"/>
                <w:szCs w:val="20"/>
              </w:rPr>
              <w:lastRenderedPageBreak/>
              <w:t>odgovarajući način. Npr. naznačeno je da će se za osobe sa invaliditetom umjesto dva napraviti četiri posebno opremljena toaleta.</w:t>
            </w:r>
          </w:p>
          <w:p w14:paraId="56913850" w14:textId="77777777" w:rsidR="00620D19" w:rsidRPr="00DC1AD5" w:rsidRDefault="00620D19" w:rsidP="00D40619">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C2A429C"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C4A2394"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p>
          <w:p w14:paraId="6343B47D"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3770037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korekcija (ukupni prihvatljivi troškovi projekta </w:t>
            </w:r>
          </w:p>
          <w:p w14:paraId="5F40CC5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620D19" w:rsidRPr="00DC1AD5" w14:paraId="1862E126" w14:textId="77777777" w:rsidTr="00D40619">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661B56E"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622"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AE44089" w14:textId="6AE0A3E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718C748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345E3D3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E5E9A2E" w14:textId="77777777" w:rsidR="00620D19" w:rsidRPr="00DC1AD5" w:rsidRDefault="00620D19" w:rsidP="00D40619">
            <w:pPr>
              <w:spacing w:before="0" w:after="0"/>
              <w:jc w:val="both"/>
              <w:rPr>
                <w:rFonts w:ascii="Times New Roman" w:eastAsia="Calibri" w:hAnsi="Times New Roman" w:cs="Times New Roman"/>
                <w:sz w:val="20"/>
                <w:szCs w:val="20"/>
              </w:rPr>
            </w:pPr>
          </w:p>
          <w:p w14:paraId="2E4DA99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746F8EEB" w14:textId="77777777" w:rsidR="00620D19" w:rsidRPr="00DC1AD5" w:rsidRDefault="00620D19" w:rsidP="00D40619">
            <w:pPr>
              <w:spacing w:before="0" w:after="0"/>
              <w:jc w:val="both"/>
              <w:rPr>
                <w:rFonts w:ascii="Times New Roman" w:eastAsia="Calibri" w:hAnsi="Times New Roman" w:cs="Times New Roman"/>
                <w:sz w:val="20"/>
                <w:szCs w:val="20"/>
              </w:rPr>
            </w:pPr>
          </w:p>
          <w:p w14:paraId="76CACC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5D1DB37F" w14:textId="77777777" w:rsidR="00620D19" w:rsidRPr="00DC1AD5" w:rsidRDefault="00620D19" w:rsidP="00D40619">
            <w:pPr>
              <w:spacing w:before="0" w:after="0"/>
              <w:jc w:val="both"/>
              <w:rPr>
                <w:rFonts w:ascii="Times New Roman" w:eastAsia="Calibri" w:hAnsi="Times New Roman" w:cs="Times New Roman"/>
                <w:sz w:val="20"/>
                <w:szCs w:val="20"/>
              </w:rPr>
            </w:pPr>
          </w:p>
          <w:p w14:paraId="577BEF9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8A2851C" w14:textId="77777777" w:rsidR="00620D19" w:rsidRPr="00DC1AD5" w:rsidRDefault="00620D19" w:rsidP="00D40619">
            <w:pPr>
              <w:spacing w:before="0" w:after="0"/>
              <w:jc w:val="both"/>
              <w:rPr>
                <w:rFonts w:ascii="Times New Roman" w:eastAsia="Calibri" w:hAnsi="Times New Roman" w:cs="Times New Roman"/>
                <w:sz w:val="20"/>
                <w:szCs w:val="20"/>
              </w:rPr>
            </w:pPr>
          </w:p>
          <w:p w14:paraId="1DD9718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39E5AA54" w14:textId="77777777" w:rsidR="00620D19" w:rsidRPr="00DC1AD5" w:rsidRDefault="00620D19" w:rsidP="00D40619">
            <w:pPr>
              <w:spacing w:before="0" w:after="0"/>
              <w:jc w:val="both"/>
              <w:rPr>
                <w:rFonts w:ascii="Times New Roman" w:eastAsia="Calibri" w:hAnsi="Times New Roman" w:cs="Times New Roman"/>
                <w:sz w:val="20"/>
                <w:szCs w:val="20"/>
              </w:rPr>
            </w:pPr>
          </w:p>
          <w:p w14:paraId="3AC4214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113D3C3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753BF64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2F5A8F34"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246437D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D09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0B1BFEA" w14:textId="7756A4A8"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u cijelosti što uzrokuje kratkoročne neprilike za stanovništvo ili imovinu.</w:t>
            </w:r>
          </w:p>
          <w:p w14:paraId="1E1C6168" w14:textId="77777777" w:rsidR="00620D19" w:rsidRPr="00DC1AD5" w:rsidRDefault="00620D19" w:rsidP="00D40619">
            <w:pPr>
              <w:spacing w:before="0" w:after="0"/>
              <w:jc w:val="both"/>
              <w:rPr>
                <w:rFonts w:ascii="Times New Roman" w:eastAsia="Calibri" w:hAnsi="Times New Roman" w:cs="Times New Roman"/>
                <w:sz w:val="20"/>
                <w:szCs w:val="20"/>
              </w:rPr>
            </w:pPr>
          </w:p>
          <w:p w14:paraId="41D18DC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F37D6B8" w14:textId="77777777" w:rsidR="00620D19" w:rsidRPr="00DC1AD5" w:rsidRDefault="00620D19" w:rsidP="00D40619">
            <w:pPr>
              <w:spacing w:before="0" w:after="0"/>
              <w:jc w:val="both"/>
              <w:rPr>
                <w:rFonts w:ascii="Times New Roman" w:eastAsia="Calibri" w:hAnsi="Times New Roman" w:cs="Times New Roman"/>
                <w:sz w:val="20"/>
                <w:szCs w:val="20"/>
              </w:rPr>
            </w:pPr>
          </w:p>
          <w:p w14:paraId="3C350DC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5A5DBF2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597B997B" w14:textId="77777777" w:rsidR="00620D19" w:rsidRPr="00DC1AD5" w:rsidRDefault="00620D19" w:rsidP="00D40619">
            <w:pPr>
              <w:spacing w:before="0" w:after="0"/>
              <w:jc w:val="both"/>
              <w:rPr>
                <w:rFonts w:ascii="Times New Roman" w:eastAsia="Calibri" w:hAnsi="Times New Roman" w:cs="Times New Roman"/>
                <w:sz w:val="20"/>
                <w:szCs w:val="20"/>
              </w:rPr>
            </w:pPr>
          </w:p>
          <w:p w14:paraId="75BBDA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42C3D423" w14:textId="77777777" w:rsidR="00620D19" w:rsidRPr="00DC1AD5" w:rsidRDefault="00620D19" w:rsidP="00D40619">
            <w:pPr>
              <w:spacing w:before="0" w:after="0"/>
              <w:jc w:val="both"/>
              <w:rPr>
                <w:rFonts w:ascii="Times New Roman" w:eastAsia="Calibri" w:hAnsi="Times New Roman" w:cs="Times New Roman"/>
                <w:sz w:val="20"/>
                <w:szCs w:val="20"/>
              </w:rPr>
            </w:pPr>
          </w:p>
          <w:p w14:paraId="6DAE1B3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Aktivnosti poslovne podrške (mentorstvo za start-up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4B56879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projekta)  ili će cjelokupni troškovi predviđenih radova/roba/usluga za koji su dobiveni dodatni bodovi biti neprihvatljivi i/ili cjelokupna zamjena ili prilagodba svih neophodnih radova/roba </w:t>
            </w:r>
            <w:r w:rsidRPr="00DC1AD5">
              <w:rPr>
                <w:rFonts w:ascii="Times New Roman" w:eastAsia="Calibri" w:hAnsi="Times New Roman" w:cs="Times New Roman"/>
                <w:sz w:val="20"/>
                <w:szCs w:val="20"/>
              </w:rPr>
              <w:lastRenderedPageBreak/>
              <w:t xml:space="preserve">je osigurana na trošak korisnika </w:t>
            </w:r>
          </w:p>
          <w:p w14:paraId="519C5C55" w14:textId="77777777" w:rsidR="00620D19" w:rsidRPr="00DC1AD5" w:rsidRDefault="00620D19" w:rsidP="00D40619">
            <w:pPr>
              <w:spacing w:before="0" w:after="0"/>
              <w:jc w:val="both"/>
              <w:rPr>
                <w:rFonts w:ascii="Times New Roman" w:eastAsia="Calibri" w:hAnsi="Times New Roman" w:cs="Times New Roman"/>
                <w:sz w:val="20"/>
                <w:szCs w:val="20"/>
              </w:rPr>
            </w:pPr>
          </w:p>
          <w:p w14:paraId="768F16B9" w14:textId="77777777" w:rsidR="00620D19" w:rsidRPr="00DC1AD5" w:rsidRDefault="00620D19" w:rsidP="00D40619">
            <w:pPr>
              <w:spacing w:before="0" w:after="0"/>
              <w:jc w:val="both"/>
              <w:rPr>
                <w:rFonts w:ascii="Times New Roman" w:eastAsia="Calibri" w:hAnsi="Times New Roman" w:cs="Times New Roman"/>
                <w:sz w:val="20"/>
                <w:szCs w:val="20"/>
              </w:rPr>
            </w:pPr>
          </w:p>
          <w:p w14:paraId="6A679BFC" w14:textId="77777777" w:rsidR="00620D19" w:rsidRPr="00DC1AD5" w:rsidRDefault="00620D19" w:rsidP="00D40619">
            <w:pPr>
              <w:spacing w:before="0" w:after="0"/>
              <w:jc w:val="both"/>
              <w:rPr>
                <w:rFonts w:ascii="Times New Roman" w:eastAsia="Calibri" w:hAnsi="Times New Roman" w:cs="Times New Roman"/>
                <w:sz w:val="20"/>
                <w:szCs w:val="20"/>
              </w:rPr>
            </w:pPr>
          </w:p>
          <w:p w14:paraId="23D7F83A"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C93169" w14:paraId="04D14A15"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40349854" w14:textId="77777777" w:rsidR="00620D19" w:rsidRPr="00DC1AD5" w:rsidRDefault="00620D19" w:rsidP="00D40619">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3CC4B19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Isporučeni predmeti ugovora o nabavi nisu u skladu s ugovorenim uvjetima u pogledu kvalitete isporučevina</w:t>
            </w:r>
          </w:p>
          <w:p w14:paraId="60DD0CD2"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B41CBE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6372651" w14:textId="77777777" w:rsidR="00620D19" w:rsidRPr="00DC1AD5" w:rsidRDefault="00620D19" w:rsidP="00D40619">
            <w:pPr>
              <w:spacing w:before="0" w:after="0"/>
              <w:jc w:val="both"/>
              <w:rPr>
                <w:rFonts w:ascii="Times New Roman" w:eastAsia="Calibri" w:hAnsi="Times New Roman" w:cs="Times New Roman"/>
                <w:sz w:val="20"/>
                <w:szCs w:val="20"/>
              </w:rPr>
            </w:pPr>
          </w:p>
          <w:p w14:paraId="4CC5D86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5D0ACABE"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10BC2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570E276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50AD6C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1BDEE697" w14:textId="77777777" w:rsidR="00620D19" w:rsidRPr="00DC1AD5" w:rsidRDefault="00620D19" w:rsidP="00D40619">
            <w:pPr>
              <w:spacing w:before="0" w:after="0"/>
              <w:jc w:val="both"/>
              <w:rPr>
                <w:rFonts w:ascii="Times New Roman" w:eastAsia="Calibri" w:hAnsi="Times New Roman" w:cs="Times New Roman"/>
                <w:sz w:val="20"/>
                <w:szCs w:val="20"/>
              </w:rPr>
            </w:pPr>
          </w:p>
          <w:p w14:paraId="5140F5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100%-tna korekcija  u slučaju nedostatne kvalitete isporučevine zbog čega je ista neupotrebljiva ili</w:t>
            </w:r>
          </w:p>
          <w:p w14:paraId="440C07F6" w14:textId="77777777" w:rsidR="00620D19" w:rsidRPr="00DC1AD5" w:rsidRDefault="00620D19" w:rsidP="00D40619">
            <w:pPr>
              <w:spacing w:before="0" w:after="0"/>
              <w:jc w:val="both"/>
              <w:rPr>
                <w:rFonts w:ascii="Times New Roman" w:eastAsia="Calibri" w:hAnsi="Times New Roman" w:cs="Times New Roman"/>
                <w:sz w:val="20"/>
                <w:szCs w:val="20"/>
              </w:rPr>
            </w:pPr>
          </w:p>
          <w:p w14:paraId="1C9A3F10" w14:textId="77777777" w:rsidR="00620D19" w:rsidRPr="00C9316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6472025B" w14:textId="77777777" w:rsidR="00620D19" w:rsidRPr="00C93169" w:rsidRDefault="00620D19" w:rsidP="00D40619">
            <w:pPr>
              <w:spacing w:before="0" w:after="0"/>
              <w:jc w:val="both"/>
              <w:rPr>
                <w:rFonts w:ascii="Times New Roman" w:eastAsia="Calibri" w:hAnsi="Times New Roman" w:cs="Times New Roman"/>
                <w:sz w:val="20"/>
                <w:szCs w:val="20"/>
              </w:rPr>
            </w:pPr>
          </w:p>
        </w:tc>
      </w:tr>
    </w:tbl>
    <w:p w14:paraId="6C13C61E" w14:textId="77777777" w:rsidR="00620D19" w:rsidRPr="00C93169" w:rsidRDefault="00620D19" w:rsidP="00620D19">
      <w:pPr>
        <w:jc w:val="center"/>
        <w:rPr>
          <w:rFonts w:ascii="Times New Roman" w:hAnsi="Times New Roman" w:cs="Times New Roman"/>
        </w:rPr>
      </w:pPr>
    </w:p>
    <w:p w14:paraId="17FF92A9" w14:textId="77777777" w:rsidR="00783487" w:rsidRPr="00C93169" w:rsidRDefault="00783487" w:rsidP="00783487">
      <w:pPr>
        <w:jc w:val="center"/>
        <w:rPr>
          <w:rFonts w:ascii="Times New Roman" w:hAnsi="Times New Roman" w:cs="Times New Roman"/>
        </w:rPr>
      </w:pPr>
    </w:p>
    <w:p w14:paraId="31998BDA" w14:textId="77777777" w:rsidR="0056094F" w:rsidRPr="00C93169" w:rsidRDefault="0056094F" w:rsidP="003A01F6">
      <w:pPr>
        <w:jc w:val="center"/>
        <w:rPr>
          <w:rFonts w:ascii="Times New Roman" w:hAnsi="Times New Roman" w:cs="Times New Roman"/>
        </w:rPr>
      </w:pPr>
    </w:p>
    <w:sectPr w:rsidR="0056094F" w:rsidRPr="00C93169" w:rsidSect="003B4D0B">
      <w:headerReference w:type="default"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53DDD" w14:textId="77777777" w:rsidR="00494FDD" w:rsidRDefault="00494FDD" w:rsidP="0056094F">
      <w:pPr>
        <w:spacing w:before="0" w:after="0"/>
      </w:pPr>
      <w:r>
        <w:separator/>
      </w:r>
    </w:p>
  </w:endnote>
  <w:endnote w:type="continuationSeparator" w:id="0">
    <w:p w14:paraId="6300D22A" w14:textId="77777777" w:rsidR="00494FDD" w:rsidRDefault="00494FDD" w:rsidP="0056094F">
      <w:pPr>
        <w:spacing w:before="0" w:after="0"/>
      </w:pPr>
      <w:r>
        <w:continuationSeparator/>
      </w:r>
    </w:p>
  </w:endnote>
  <w:endnote w:type="continuationNotice" w:id="1">
    <w:p w14:paraId="4F7689A1" w14:textId="77777777" w:rsidR="00494FDD" w:rsidRDefault="00494F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813770"/>
      <w:docPartObj>
        <w:docPartGallery w:val="Page Numbers (Bottom of Page)"/>
        <w:docPartUnique/>
      </w:docPartObj>
    </w:sdtPr>
    <w:sdtEndPr/>
    <w:sdtContent>
      <w:sdt>
        <w:sdtPr>
          <w:id w:val="1728636285"/>
          <w:docPartObj>
            <w:docPartGallery w:val="Page Numbers (Top of Page)"/>
            <w:docPartUnique/>
          </w:docPartObj>
        </w:sdtPr>
        <w:sdtEndPr/>
        <w:sdtContent>
          <w:p w14:paraId="6B6C438C" w14:textId="15B19115" w:rsidR="009536F1" w:rsidRDefault="009536F1">
            <w:pPr>
              <w:pStyle w:val="Footer"/>
              <w:jc w:val="center"/>
            </w:pPr>
            <w:r w:rsidRPr="009536F1">
              <w:rPr>
                <w:rFonts w:ascii="Times New Roman" w:hAnsi="Times New Roman" w:cs="Times New Roman"/>
                <w:sz w:val="18"/>
                <w:szCs w:val="18"/>
              </w:rPr>
              <w:t xml:space="preserve">Stranica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PAGE </w:instrText>
            </w:r>
            <w:r w:rsidRPr="009536F1">
              <w:rPr>
                <w:rFonts w:ascii="Times New Roman" w:hAnsi="Times New Roman" w:cs="Times New Roman"/>
                <w:bCs/>
                <w:sz w:val="18"/>
                <w:szCs w:val="18"/>
              </w:rPr>
              <w:fldChar w:fldCharType="separate"/>
            </w:r>
            <w:r w:rsidR="00BD7C9F">
              <w:rPr>
                <w:rFonts w:ascii="Times New Roman" w:hAnsi="Times New Roman" w:cs="Times New Roman"/>
                <w:bCs/>
                <w:noProof/>
                <w:sz w:val="18"/>
                <w:szCs w:val="18"/>
              </w:rPr>
              <w:t>35</w:t>
            </w:r>
            <w:r w:rsidRPr="009536F1">
              <w:rPr>
                <w:rFonts w:ascii="Times New Roman" w:hAnsi="Times New Roman" w:cs="Times New Roman"/>
                <w:bCs/>
                <w:sz w:val="18"/>
                <w:szCs w:val="18"/>
              </w:rPr>
              <w:fldChar w:fldCharType="end"/>
            </w:r>
            <w:r w:rsidRPr="009536F1">
              <w:rPr>
                <w:rFonts w:ascii="Times New Roman" w:hAnsi="Times New Roman" w:cs="Times New Roman"/>
                <w:sz w:val="18"/>
                <w:szCs w:val="18"/>
              </w:rPr>
              <w:t xml:space="preserve"> od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NUMPAGES  </w:instrText>
            </w:r>
            <w:r w:rsidRPr="009536F1">
              <w:rPr>
                <w:rFonts w:ascii="Times New Roman" w:hAnsi="Times New Roman" w:cs="Times New Roman"/>
                <w:bCs/>
                <w:sz w:val="18"/>
                <w:szCs w:val="18"/>
              </w:rPr>
              <w:fldChar w:fldCharType="separate"/>
            </w:r>
            <w:r w:rsidR="00BD7C9F">
              <w:rPr>
                <w:rFonts w:ascii="Times New Roman" w:hAnsi="Times New Roman" w:cs="Times New Roman"/>
                <w:bCs/>
                <w:noProof/>
                <w:sz w:val="18"/>
                <w:szCs w:val="18"/>
              </w:rPr>
              <w:t>36</w:t>
            </w:r>
            <w:r w:rsidRPr="009536F1">
              <w:rPr>
                <w:rFonts w:ascii="Times New Roman" w:hAnsi="Times New Roman" w:cs="Times New Roman"/>
                <w:bCs/>
                <w:sz w:val="18"/>
                <w:szCs w:val="18"/>
              </w:rPr>
              <w:fldChar w:fldCharType="end"/>
            </w:r>
          </w:p>
        </w:sdtContent>
      </w:sdt>
    </w:sdtContent>
  </w:sdt>
  <w:p w14:paraId="56ADB72D" w14:textId="0801BB8F" w:rsidR="005D3504" w:rsidRDefault="005D3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E735" w14:textId="77777777" w:rsidR="00494FDD" w:rsidRDefault="00494FDD" w:rsidP="0056094F">
      <w:pPr>
        <w:spacing w:before="0" w:after="0"/>
      </w:pPr>
      <w:r>
        <w:separator/>
      </w:r>
    </w:p>
  </w:footnote>
  <w:footnote w:type="continuationSeparator" w:id="0">
    <w:p w14:paraId="29AA75B6" w14:textId="77777777" w:rsidR="00494FDD" w:rsidRDefault="00494FDD" w:rsidP="0056094F">
      <w:pPr>
        <w:spacing w:before="0" w:after="0"/>
      </w:pPr>
      <w:r>
        <w:continuationSeparator/>
      </w:r>
    </w:p>
  </w:footnote>
  <w:footnote w:type="continuationNotice" w:id="1">
    <w:p w14:paraId="47E3452F" w14:textId="77777777" w:rsidR="00494FDD" w:rsidRDefault="00494FDD">
      <w:pPr>
        <w:spacing w:before="0" w:after="0"/>
      </w:pPr>
    </w:p>
  </w:footnote>
  <w:footnote w:id="2">
    <w:p w14:paraId="64E60057" w14:textId="77777777" w:rsidR="005D3504" w:rsidRPr="00A9738A" w:rsidRDefault="005D3504" w:rsidP="00D0103E">
      <w:pPr>
        <w:pStyle w:val="FootnoteText"/>
        <w:jc w:val="both"/>
        <w:rPr>
          <w:highlight w:val="yellow"/>
          <w:lang w:val="hr-HR"/>
        </w:rPr>
      </w:pPr>
      <w:r w:rsidRPr="00AB2CD7">
        <w:rPr>
          <w:rStyle w:val="FootnoteReference"/>
        </w:rPr>
        <w:footnoteRef/>
      </w:r>
      <w:r w:rsidRPr="00AB2CD7">
        <w:t xml:space="preserve"> </w:t>
      </w:r>
      <w:r w:rsidRPr="00AB2CD7">
        <w:rPr>
          <w:lang w:val="hr-HR"/>
        </w:rPr>
        <w:t>Označava Europsku uniju. U navedenom kontekstu u tekstu se rabe još i termini Europska unija i EU.</w:t>
      </w:r>
    </w:p>
  </w:footnote>
  <w:footnote w:id="3">
    <w:p w14:paraId="5473BF90" w14:textId="77777777" w:rsidR="005D3504" w:rsidRPr="00310F62" w:rsidRDefault="005D3504" w:rsidP="00D0103E">
      <w:pPr>
        <w:pStyle w:val="FootnoteText"/>
        <w:rPr>
          <w:lang w:val="hr-HR"/>
        </w:rPr>
      </w:pPr>
      <w:r w:rsidRPr="008D616A">
        <w:rPr>
          <w:rStyle w:val="FootnoteReference"/>
        </w:rPr>
        <w:footnoteRef/>
      </w:r>
      <w:r w:rsidRPr="008D616A">
        <w:t xml:space="preserve"> </w:t>
      </w:r>
      <w:r w:rsidRPr="008D616A">
        <w:rPr>
          <w:lang w:val="hr-HR"/>
        </w:rPr>
        <w:t>Konvencija o zaštiti financijskih interesa Europskih zajednica (SL C 316, 27.11.1995.)</w:t>
      </w:r>
    </w:p>
  </w:footnote>
  <w:footnote w:id="4">
    <w:p w14:paraId="7788E993" w14:textId="77777777" w:rsidR="005D3504" w:rsidRPr="00C4593D" w:rsidRDefault="005D3504" w:rsidP="00C4593D">
      <w:pPr>
        <w:pStyle w:val="FootnoteText"/>
        <w:jc w:val="both"/>
        <w:rPr>
          <w:lang w:val="hr-HR"/>
        </w:rPr>
      </w:pPr>
      <w:r>
        <w:rPr>
          <w:rStyle w:val="FootnoteReferenc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podzakonske akte donesene na temelju tog zakona.</w:t>
      </w:r>
      <w:r>
        <w:rPr>
          <w:lang w:val="hr-HR"/>
        </w:rPr>
        <w:t xml:space="preserve"> </w:t>
      </w:r>
    </w:p>
  </w:footnote>
  <w:footnote w:id="5">
    <w:p w14:paraId="5A75ACAE" w14:textId="77777777" w:rsidR="005D3504" w:rsidRPr="005B25F1" w:rsidRDefault="005D3504" w:rsidP="004C1A12">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cs="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6">
    <w:p w14:paraId="6F6E67D9" w14:textId="5EB5DEAD" w:rsidR="005D3504" w:rsidRPr="00DF2800" w:rsidRDefault="005D3504" w:rsidP="00423D70">
      <w:pPr>
        <w:pStyle w:val="FootnoteText"/>
        <w:rPr>
          <w:lang w:val="hr-HR"/>
        </w:rPr>
      </w:pPr>
      <w:r w:rsidRPr="005B25F1">
        <w:rPr>
          <w:rStyle w:val="FootnoteReferenc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7">
    <w:p w14:paraId="57F229BB" w14:textId="5B3CE3EB" w:rsidR="005D3504" w:rsidRPr="002C6F65" w:rsidRDefault="005D3504">
      <w:pPr>
        <w:pStyle w:val="FootnoteText"/>
        <w:rPr>
          <w:lang w:val="hr-HR"/>
        </w:rPr>
      </w:pPr>
      <w:r>
        <w:rPr>
          <w:rStyle w:val="FootnoteReference"/>
        </w:rPr>
        <w:footnoteRef/>
      </w:r>
      <w:r>
        <w:t xml:space="preserve"> </w:t>
      </w:r>
      <w:r>
        <w:rPr>
          <w:lang w:val="hr-HR"/>
        </w:rPr>
        <w:t xml:space="preserve">Propust nenavođenja kriterija za odabir ponude odnosi se samo na slučajeve kada se radi o postupcima koji se provode sukladno Zakonu o javnoj nabavi </w:t>
      </w:r>
    </w:p>
  </w:footnote>
  <w:footnote w:id="8">
    <w:p w14:paraId="659D83CE" w14:textId="4E819C4C" w:rsidR="005D3504" w:rsidRPr="008F691C" w:rsidRDefault="005D3504" w:rsidP="000234ED">
      <w:pPr>
        <w:pStyle w:val="FootnoteText"/>
        <w:jc w:val="both"/>
        <w:rPr>
          <w:lang w:val="hr-HR"/>
        </w:rPr>
      </w:pPr>
      <w:r w:rsidRPr="008F691C">
        <w:rPr>
          <w:rStyle w:val="FootnoteReference"/>
          <w:lang w:val="hr-HR"/>
        </w:rPr>
        <w:footnoteRef/>
      </w:r>
      <w:r w:rsidRPr="008F691C">
        <w:rPr>
          <w:lang w:val="hr-HR"/>
        </w:rPr>
        <w:t xml:space="preserve"> Osim ako: (i) je dopušteno pregovaranje ili (ii) kada je predmet ugovora razjašnjen nakon objave poziva na nadmetanje, a takvo pojašnjenje je objavljeno u skladu s pravilima javne nabave.</w:t>
      </w:r>
    </w:p>
  </w:footnote>
  <w:footnote w:id="9">
    <w:p w14:paraId="4EE9113D" w14:textId="77777777" w:rsidR="005D3504" w:rsidRPr="000A3444" w:rsidRDefault="005D3504" w:rsidP="000A3444">
      <w:pPr>
        <w:pStyle w:val="FootnoteText"/>
        <w:jc w:val="both"/>
        <w:rPr>
          <w:lang w:val="hr-HR"/>
        </w:rPr>
      </w:pPr>
      <w:r w:rsidRPr="00CE753A">
        <w:rPr>
          <w:rStyle w:val="FootnoteReferenc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0">
    <w:p w14:paraId="255FBE3F" w14:textId="77777777" w:rsidR="005D3504" w:rsidRPr="00460D22" w:rsidRDefault="005D3504" w:rsidP="00460D22">
      <w:pPr>
        <w:pStyle w:val="FootnoteText"/>
        <w:jc w:val="both"/>
        <w:rPr>
          <w:lang w:val="hr-HR"/>
        </w:rPr>
      </w:pPr>
      <w:r w:rsidRPr="00460D22">
        <w:rPr>
          <w:rStyle w:val="FootnoteReference"/>
          <w:lang w:val="hr-HR"/>
        </w:rPr>
        <w:footnoteRef/>
      </w:r>
      <w:r w:rsidRPr="00460D22">
        <w:rPr>
          <w:lang w:val="hr-HR"/>
        </w:rPr>
        <w:t xml:space="preserve"> Međutim, izmjene elemenata ugovora ne smatraju se nepravilnostima koje podliježu financijskoj korekciji kada se poštuju slijedeći uvjeti:</w:t>
      </w:r>
    </w:p>
    <w:p w14:paraId="65124051" w14:textId="77777777" w:rsidR="005D3504" w:rsidRPr="00460D22" w:rsidRDefault="005D3504" w:rsidP="00460D22">
      <w:pPr>
        <w:pStyle w:val="FootnoteText"/>
        <w:jc w:val="both"/>
        <w:rPr>
          <w:lang w:val="hr-HR"/>
        </w:rPr>
      </w:pPr>
      <w:r w:rsidRPr="00460D22">
        <w:rPr>
          <w:lang w:val="hr-HR"/>
        </w:rPr>
        <w:t>a) vrijednost izmjena je ispod sljedećih vrijednosti:</w:t>
      </w:r>
    </w:p>
    <w:p w14:paraId="083A3D91" w14:textId="77777777" w:rsidR="005D3504" w:rsidRPr="00460D22" w:rsidRDefault="005D3504" w:rsidP="00460D22">
      <w:pPr>
        <w:pStyle w:val="FootnoteText"/>
        <w:jc w:val="both"/>
        <w:rPr>
          <w:lang w:val="hr-HR"/>
        </w:rPr>
      </w:pPr>
      <w:r w:rsidRPr="00460D22">
        <w:rPr>
          <w:lang w:val="hr-HR"/>
        </w:rPr>
        <w:t>(i) pragovi utvrđeni u članku 4. Direktive 2014/24 / EU; i</w:t>
      </w:r>
    </w:p>
    <w:p w14:paraId="3D58AADC" w14:textId="77777777" w:rsidR="005D3504" w:rsidRPr="00460D22" w:rsidRDefault="005D3504" w:rsidP="00460D22">
      <w:pPr>
        <w:pStyle w:val="FootnoteText"/>
        <w:jc w:val="both"/>
        <w:rPr>
          <w:lang w:val="hr-HR"/>
        </w:rPr>
      </w:pPr>
      <w:r w:rsidRPr="00460D22">
        <w:rPr>
          <w:lang w:val="hr-HR"/>
        </w:rPr>
        <w:t>(ii) 10% početne vrijednosti ugovora za uslugu i robe i ispod 15% početne vrijednosti ugovora o radovima, i</w:t>
      </w:r>
    </w:p>
    <w:p w14:paraId="0D9F82D5" w14:textId="77777777" w:rsidR="005D3504" w:rsidRPr="001C1AA6" w:rsidRDefault="005D3504" w:rsidP="00460D22">
      <w:pPr>
        <w:pStyle w:val="FootnoteText"/>
        <w:jc w:val="both"/>
      </w:pPr>
      <w:r w:rsidRPr="00460D22">
        <w:rPr>
          <w:lang w:val="hr-HR"/>
        </w:rPr>
        <w:t>b) izmjena ne mijenja ukupnu prirodu, ugovor ili okvirni sporazum</w:t>
      </w:r>
    </w:p>
  </w:footnote>
  <w:footnote w:id="11">
    <w:p w14:paraId="3B6ACEBD" w14:textId="11E28AC2" w:rsidR="005D3504" w:rsidRPr="00460D22" w:rsidRDefault="005D3504"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2">
    <w:p w14:paraId="0666BC74" w14:textId="77777777" w:rsidR="005D3504" w:rsidRPr="004C1A12" w:rsidRDefault="005D3504" w:rsidP="00620D19">
      <w:pPr>
        <w:pStyle w:val="FootnoteText"/>
        <w:rPr>
          <w:lang w:val="hr-HR"/>
        </w:rPr>
      </w:pPr>
      <w:r w:rsidRPr="004C1A12">
        <w:rPr>
          <w:rStyle w:val="FootnoteReference"/>
          <w:lang w:val="hr-HR"/>
        </w:rPr>
        <w:footnoteRef/>
      </w:r>
      <w:r w:rsidRPr="004C1A12">
        <w:rPr>
          <w:lang w:val="hr-HR"/>
        </w:rPr>
        <w:t xml:space="preserve"> Čl. 39. ZJN-a dužni su primjenjivati bez obzira na procijenjenu vrijednost nabave</w:t>
      </w:r>
      <w:r>
        <w:rPr>
          <w:lang w:val="hr-HR"/>
        </w:rPr>
        <w:t>.</w:t>
      </w:r>
    </w:p>
  </w:footnote>
  <w:footnote w:id="13">
    <w:p w14:paraId="2E586BF6" w14:textId="77777777" w:rsidR="005D3504" w:rsidRPr="000266C6" w:rsidRDefault="005D3504" w:rsidP="00620D19">
      <w:pPr>
        <w:pStyle w:val="FootnoteText"/>
      </w:pPr>
      <w:r w:rsidRPr="004C1A12">
        <w:rPr>
          <w:rStyle w:val="FootnoteReferenc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4">
    <w:p w14:paraId="11328138" w14:textId="77777777" w:rsidR="005D3504" w:rsidRPr="002C2F76" w:rsidRDefault="005D3504" w:rsidP="00620D19">
      <w:pPr>
        <w:pStyle w:val="FootnoteText"/>
        <w:jc w:val="both"/>
        <w:rPr>
          <w:lang w:val="hr-HR"/>
        </w:rPr>
      </w:pPr>
      <w:r w:rsidRPr="00526530">
        <w:rPr>
          <w:rStyle w:val="FootnoteReferenc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5">
    <w:p w14:paraId="1F305ADA" w14:textId="77777777" w:rsidR="005D3504" w:rsidRDefault="005D3504" w:rsidP="00620D19">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6">
    <w:p w14:paraId="1D1A1D09" w14:textId="77777777" w:rsidR="005D3504" w:rsidRPr="0098227B" w:rsidRDefault="005D3504" w:rsidP="00620D19">
      <w:pPr>
        <w:pStyle w:val="FootnoteText"/>
        <w:rPr>
          <w:lang w:val="hr-HR"/>
        </w:rPr>
      </w:pPr>
      <w:r>
        <w:rPr>
          <w:rStyle w:val="FootnoteReference"/>
        </w:rPr>
        <w:footnoteRef/>
      </w:r>
      <w:r>
        <w:t xml:space="preserve"> </w:t>
      </w:r>
      <w:r>
        <w:rPr>
          <w:lang w:val="hr-HR"/>
        </w:rPr>
        <w:t>Primjenjuje se na obveznike i neobveznike Zakona o javnoj nabavi.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4FCAF" w14:textId="77777777" w:rsidR="006462FA" w:rsidRDefault="006462FA" w:rsidP="006462FA">
    <w:pPr>
      <w:pStyle w:val="Header"/>
    </w:pPr>
    <w:r>
      <w:rPr>
        <w:noProof/>
        <w:lang w:eastAsia="hr-HR"/>
      </w:rPr>
      <w:drawing>
        <wp:inline distT="0" distB="0" distL="0" distR="0" wp14:anchorId="2FEEA449" wp14:editId="71214EC5">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Pr>
        <w:noProof/>
        <w:lang w:eastAsia="hr-HR"/>
      </w:rPr>
      <w:drawing>
        <wp:inline distT="0" distB="0" distL="0" distR="0" wp14:anchorId="25D7DBFF" wp14:editId="651F860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03868CAA" w14:textId="77777777" w:rsidR="00F77923" w:rsidRDefault="00F77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3"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93B82"/>
    <w:multiLevelType w:val="hybridMultilevel"/>
    <w:tmpl w:val="7838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D10060"/>
    <w:multiLevelType w:val="hybridMultilevel"/>
    <w:tmpl w:val="C608A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3" w15:restartNumberingAfterBreak="0">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4"/>
  </w:num>
  <w:num w:numId="10">
    <w:abstractNumId w:val="16"/>
  </w:num>
  <w:num w:numId="11">
    <w:abstractNumId w:val="35"/>
  </w:num>
  <w:num w:numId="12">
    <w:abstractNumId w:val="21"/>
  </w:num>
  <w:num w:numId="13">
    <w:abstractNumId w:val="26"/>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4"/>
  </w:num>
  <w:num w:numId="40">
    <w:abstractNumId w:val="0"/>
  </w:num>
  <w:num w:numId="41">
    <w:abstractNumId w:val="2"/>
  </w:num>
  <w:num w:numId="42">
    <w:abstractNumId w:val="15"/>
  </w:num>
  <w:num w:numId="43">
    <w:abstractNumId w:val="33"/>
  </w:num>
  <w:num w:numId="44">
    <w:abstractNumId w:val="34"/>
  </w:num>
  <w:num w:numId="45">
    <w:abstractNumId w:val="20"/>
  </w:num>
  <w:num w:numId="46">
    <w:abstractNumId w:val="10"/>
  </w:num>
  <w:num w:numId="47">
    <w:abstractNumId w:val="31"/>
  </w:num>
  <w:num w:numId="48">
    <w:abstractNumId w:val="1"/>
  </w:num>
  <w:num w:numId="49">
    <w:abstractNumId w:val="28"/>
  </w:num>
  <w:num w:numId="50">
    <w:abstractNumId w:val="30"/>
  </w:num>
  <w:num w:numId="51">
    <w:abstractNumId w:val="18"/>
  </w:num>
  <w:num w:numId="52">
    <w:abstractNumId w:val="24"/>
  </w:num>
  <w:num w:numId="53">
    <w:abstractNumId w:val="29"/>
  </w:num>
  <w:num w:numId="54">
    <w:abstractNumId w:val="12"/>
  </w:num>
  <w:num w:numId="55">
    <w:abstractNumId w:val="25"/>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7"/>
    <w:rsid w:val="00000DE3"/>
    <w:rsid w:val="00000F0B"/>
    <w:rsid w:val="0000120E"/>
    <w:rsid w:val="00003D32"/>
    <w:rsid w:val="000045F9"/>
    <w:rsid w:val="00005C04"/>
    <w:rsid w:val="000063E6"/>
    <w:rsid w:val="000067CA"/>
    <w:rsid w:val="00007A4B"/>
    <w:rsid w:val="00013855"/>
    <w:rsid w:val="00014520"/>
    <w:rsid w:val="00014703"/>
    <w:rsid w:val="000159AF"/>
    <w:rsid w:val="00015AD7"/>
    <w:rsid w:val="0001607A"/>
    <w:rsid w:val="000176AE"/>
    <w:rsid w:val="00017FEC"/>
    <w:rsid w:val="000234ED"/>
    <w:rsid w:val="00023855"/>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4D1F"/>
    <w:rsid w:val="00066418"/>
    <w:rsid w:val="000668BB"/>
    <w:rsid w:val="0006691C"/>
    <w:rsid w:val="000671DB"/>
    <w:rsid w:val="000722A9"/>
    <w:rsid w:val="00072643"/>
    <w:rsid w:val="000739C7"/>
    <w:rsid w:val="00073BAE"/>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2D1"/>
    <w:rsid w:val="00090BB6"/>
    <w:rsid w:val="00093834"/>
    <w:rsid w:val="00094A78"/>
    <w:rsid w:val="00094B1C"/>
    <w:rsid w:val="00094BEB"/>
    <w:rsid w:val="000969D5"/>
    <w:rsid w:val="00097260"/>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374"/>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3E31"/>
    <w:rsid w:val="000C49BB"/>
    <w:rsid w:val="000C564C"/>
    <w:rsid w:val="000C6786"/>
    <w:rsid w:val="000C694E"/>
    <w:rsid w:val="000C6A53"/>
    <w:rsid w:val="000C711F"/>
    <w:rsid w:val="000C75DB"/>
    <w:rsid w:val="000D1574"/>
    <w:rsid w:val="000D17C3"/>
    <w:rsid w:val="000D2C4B"/>
    <w:rsid w:val="000D30C2"/>
    <w:rsid w:val="000D43A7"/>
    <w:rsid w:val="000D5A1B"/>
    <w:rsid w:val="000D5FA5"/>
    <w:rsid w:val="000D6013"/>
    <w:rsid w:val="000D676C"/>
    <w:rsid w:val="000D7159"/>
    <w:rsid w:val="000D73F2"/>
    <w:rsid w:val="000E0269"/>
    <w:rsid w:val="000E09AC"/>
    <w:rsid w:val="000E45B1"/>
    <w:rsid w:val="000E4750"/>
    <w:rsid w:val="000E4FBC"/>
    <w:rsid w:val="000E52F8"/>
    <w:rsid w:val="000E5690"/>
    <w:rsid w:val="000E5F7B"/>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418A"/>
    <w:rsid w:val="001261DB"/>
    <w:rsid w:val="0012710C"/>
    <w:rsid w:val="0013075B"/>
    <w:rsid w:val="00130ACC"/>
    <w:rsid w:val="0013190C"/>
    <w:rsid w:val="001319EB"/>
    <w:rsid w:val="00131C9B"/>
    <w:rsid w:val="00131E9E"/>
    <w:rsid w:val="001327F2"/>
    <w:rsid w:val="001329ED"/>
    <w:rsid w:val="00133487"/>
    <w:rsid w:val="00133530"/>
    <w:rsid w:val="0013358C"/>
    <w:rsid w:val="00134B00"/>
    <w:rsid w:val="001355A3"/>
    <w:rsid w:val="0013653D"/>
    <w:rsid w:val="00136817"/>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3A3"/>
    <w:rsid w:val="00161835"/>
    <w:rsid w:val="00161CDC"/>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3308"/>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B01BF"/>
    <w:rsid w:val="001B2298"/>
    <w:rsid w:val="001B28C7"/>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591"/>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73B3"/>
    <w:rsid w:val="001F7A36"/>
    <w:rsid w:val="0020003F"/>
    <w:rsid w:val="00202033"/>
    <w:rsid w:val="00203774"/>
    <w:rsid w:val="00203B3F"/>
    <w:rsid w:val="00203DA4"/>
    <w:rsid w:val="00204126"/>
    <w:rsid w:val="0020436C"/>
    <w:rsid w:val="00204747"/>
    <w:rsid w:val="00204F7A"/>
    <w:rsid w:val="002052A6"/>
    <w:rsid w:val="00207184"/>
    <w:rsid w:val="002075B2"/>
    <w:rsid w:val="00211415"/>
    <w:rsid w:val="00212F09"/>
    <w:rsid w:val="002137B5"/>
    <w:rsid w:val="00213B86"/>
    <w:rsid w:val="002156BE"/>
    <w:rsid w:val="0021580F"/>
    <w:rsid w:val="00215A9D"/>
    <w:rsid w:val="002169D3"/>
    <w:rsid w:val="00217610"/>
    <w:rsid w:val="00220046"/>
    <w:rsid w:val="0022021F"/>
    <w:rsid w:val="00221421"/>
    <w:rsid w:val="00221692"/>
    <w:rsid w:val="00221CE8"/>
    <w:rsid w:val="00221FC0"/>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6FC"/>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0D0A"/>
    <w:rsid w:val="002718E8"/>
    <w:rsid w:val="002722AE"/>
    <w:rsid w:val="002733C7"/>
    <w:rsid w:val="002741B9"/>
    <w:rsid w:val="002742E7"/>
    <w:rsid w:val="00274900"/>
    <w:rsid w:val="002749B9"/>
    <w:rsid w:val="00274EC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15E5"/>
    <w:rsid w:val="002B20BE"/>
    <w:rsid w:val="002B25D8"/>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C6F65"/>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932"/>
    <w:rsid w:val="002E3BF4"/>
    <w:rsid w:val="002E47CC"/>
    <w:rsid w:val="002E493A"/>
    <w:rsid w:val="002E5498"/>
    <w:rsid w:val="002E57EC"/>
    <w:rsid w:val="002E5E85"/>
    <w:rsid w:val="002F2585"/>
    <w:rsid w:val="002F30A9"/>
    <w:rsid w:val="002F3E75"/>
    <w:rsid w:val="002F5186"/>
    <w:rsid w:val="002F5A2A"/>
    <w:rsid w:val="002F5A35"/>
    <w:rsid w:val="002F6C2B"/>
    <w:rsid w:val="002F6F1B"/>
    <w:rsid w:val="00300ADC"/>
    <w:rsid w:val="003020DE"/>
    <w:rsid w:val="00302A50"/>
    <w:rsid w:val="00302BFE"/>
    <w:rsid w:val="0030333A"/>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0C3C"/>
    <w:rsid w:val="003619D5"/>
    <w:rsid w:val="00361E0C"/>
    <w:rsid w:val="0036216C"/>
    <w:rsid w:val="003637A4"/>
    <w:rsid w:val="00363FE5"/>
    <w:rsid w:val="00365F0A"/>
    <w:rsid w:val="00366257"/>
    <w:rsid w:val="00366843"/>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51DC"/>
    <w:rsid w:val="00386890"/>
    <w:rsid w:val="00387D48"/>
    <w:rsid w:val="0039017D"/>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088C"/>
    <w:rsid w:val="003C20B5"/>
    <w:rsid w:val="003C2128"/>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6758"/>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B97"/>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875"/>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4FDD"/>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126"/>
    <w:rsid w:val="004A55D8"/>
    <w:rsid w:val="004A5695"/>
    <w:rsid w:val="004A620B"/>
    <w:rsid w:val="004A62EB"/>
    <w:rsid w:val="004A6C00"/>
    <w:rsid w:val="004A6CFE"/>
    <w:rsid w:val="004A6F6F"/>
    <w:rsid w:val="004A7517"/>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E7AB3"/>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87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62C0"/>
    <w:rsid w:val="005772BB"/>
    <w:rsid w:val="00577BBC"/>
    <w:rsid w:val="00577C65"/>
    <w:rsid w:val="00580044"/>
    <w:rsid w:val="005809F6"/>
    <w:rsid w:val="00580B0F"/>
    <w:rsid w:val="00581688"/>
    <w:rsid w:val="0058174B"/>
    <w:rsid w:val="005819A0"/>
    <w:rsid w:val="0058213C"/>
    <w:rsid w:val="005823E5"/>
    <w:rsid w:val="00582B53"/>
    <w:rsid w:val="00583255"/>
    <w:rsid w:val="005841D1"/>
    <w:rsid w:val="00585321"/>
    <w:rsid w:val="00585426"/>
    <w:rsid w:val="005854BC"/>
    <w:rsid w:val="00585D04"/>
    <w:rsid w:val="00586711"/>
    <w:rsid w:val="00586B87"/>
    <w:rsid w:val="005905C3"/>
    <w:rsid w:val="005916E5"/>
    <w:rsid w:val="0059240E"/>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28BE"/>
    <w:rsid w:val="005B3131"/>
    <w:rsid w:val="005B3A73"/>
    <w:rsid w:val="005B3B29"/>
    <w:rsid w:val="005B3C29"/>
    <w:rsid w:val="005B4B4F"/>
    <w:rsid w:val="005B4CE2"/>
    <w:rsid w:val="005B5076"/>
    <w:rsid w:val="005B5553"/>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504"/>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0D19"/>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2FA"/>
    <w:rsid w:val="00646390"/>
    <w:rsid w:val="0064651B"/>
    <w:rsid w:val="00646E7E"/>
    <w:rsid w:val="0064792C"/>
    <w:rsid w:val="006502B6"/>
    <w:rsid w:val="006512E5"/>
    <w:rsid w:val="006514B2"/>
    <w:rsid w:val="00652535"/>
    <w:rsid w:val="00653316"/>
    <w:rsid w:val="00653FA8"/>
    <w:rsid w:val="006545C1"/>
    <w:rsid w:val="00654BC7"/>
    <w:rsid w:val="00654D42"/>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67204"/>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4ED6"/>
    <w:rsid w:val="00695ECC"/>
    <w:rsid w:val="00696C1A"/>
    <w:rsid w:val="00697149"/>
    <w:rsid w:val="0069790A"/>
    <w:rsid w:val="00697E1C"/>
    <w:rsid w:val="00697E63"/>
    <w:rsid w:val="006A09D9"/>
    <w:rsid w:val="006A1A67"/>
    <w:rsid w:val="006A3736"/>
    <w:rsid w:val="006A4263"/>
    <w:rsid w:val="006A466B"/>
    <w:rsid w:val="006A5E3B"/>
    <w:rsid w:val="006A69E3"/>
    <w:rsid w:val="006A6BDA"/>
    <w:rsid w:val="006A71B3"/>
    <w:rsid w:val="006A77BC"/>
    <w:rsid w:val="006A784C"/>
    <w:rsid w:val="006B119A"/>
    <w:rsid w:val="006B11B0"/>
    <w:rsid w:val="006B256C"/>
    <w:rsid w:val="006B2D71"/>
    <w:rsid w:val="006B32CB"/>
    <w:rsid w:val="006B39D9"/>
    <w:rsid w:val="006B4DF0"/>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C28"/>
    <w:rsid w:val="006D4EEA"/>
    <w:rsid w:val="006D5D27"/>
    <w:rsid w:val="006D6F5B"/>
    <w:rsid w:val="006E1F6E"/>
    <w:rsid w:val="006E2039"/>
    <w:rsid w:val="006E2F00"/>
    <w:rsid w:val="006E359C"/>
    <w:rsid w:val="006E46C6"/>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59CC"/>
    <w:rsid w:val="006F6C6F"/>
    <w:rsid w:val="006F7380"/>
    <w:rsid w:val="00701E1F"/>
    <w:rsid w:val="00701FE7"/>
    <w:rsid w:val="007023E7"/>
    <w:rsid w:val="00703770"/>
    <w:rsid w:val="00704C38"/>
    <w:rsid w:val="00704E9E"/>
    <w:rsid w:val="00705C92"/>
    <w:rsid w:val="007065F4"/>
    <w:rsid w:val="0070722A"/>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183"/>
    <w:rsid w:val="007308D9"/>
    <w:rsid w:val="00730943"/>
    <w:rsid w:val="00732023"/>
    <w:rsid w:val="0073301D"/>
    <w:rsid w:val="00733638"/>
    <w:rsid w:val="00733DA4"/>
    <w:rsid w:val="00734100"/>
    <w:rsid w:val="00734995"/>
    <w:rsid w:val="007359B6"/>
    <w:rsid w:val="00737E35"/>
    <w:rsid w:val="007401AC"/>
    <w:rsid w:val="00741ADC"/>
    <w:rsid w:val="00742131"/>
    <w:rsid w:val="00742A40"/>
    <w:rsid w:val="0074318B"/>
    <w:rsid w:val="007442BC"/>
    <w:rsid w:val="007469A8"/>
    <w:rsid w:val="007472CC"/>
    <w:rsid w:val="00747AB0"/>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9A"/>
    <w:rsid w:val="00775B3B"/>
    <w:rsid w:val="00777F62"/>
    <w:rsid w:val="007822AF"/>
    <w:rsid w:val="00782FC6"/>
    <w:rsid w:val="00783487"/>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3186"/>
    <w:rsid w:val="007A43EF"/>
    <w:rsid w:val="007A6B85"/>
    <w:rsid w:val="007A6BD6"/>
    <w:rsid w:val="007A6FC7"/>
    <w:rsid w:val="007A7539"/>
    <w:rsid w:val="007B1E14"/>
    <w:rsid w:val="007B2008"/>
    <w:rsid w:val="007B2054"/>
    <w:rsid w:val="007B2FF8"/>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62B1"/>
    <w:rsid w:val="007C72F4"/>
    <w:rsid w:val="007D00B8"/>
    <w:rsid w:val="007D0D26"/>
    <w:rsid w:val="007D0E3B"/>
    <w:rsid w:val="007D27F5"/>
    <w:rsid w:val="007D2A94"/>
    <w:rsid w:val="007D3597"/>
    <w:rsid w:val="007D4113"/>
    <w:rsid w:val="007D4D59"/>
    <w:rsid w:val="007D4D8A"/>
    <w:rsid w:val="007D52F1"/>
    <w:rsid w:val="007D7390"/>
    <w:rsid w:val="007E045B"/>
    <w:rsid w:val="007E1235"/>
    <w:rsid w:val="007E233D"/>
    <w:rsid w:val="007E2692"/>
    <w:rsid w:val="007E3E8E"/>
    <w:rsid w:val="007E3E9B"/>
    <w:rsid w:val="007E41E3"/>
    <w:rsid w:val="007E48AA"/>
    <w:rsid w:val="007E4A96"/>
    <w:rsid w:val="007E56BD"/>
    <w:rsid w:val="007E6343"/>
    <w:rsid w:val="007E76BF"/>
    <w:rsid w:val="007E7DF9"/>
    <w:rsid w:val="007E7FB3"/>
    <w:rsid w:val="007F00F1"/>
    <w:rsid w:val="007F059A"/>
    <w:rsid w:val="007F0954"/>
    <w:rsid w:val="007F1F37"/>
    <w:rsid w:val="007F36F7"/>
    <w:rsid w:val="007F3C85"/>
    <w:rsid w:val="007F3DCF"/>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3D44"/>
    <w:rsid w:val="00834CD4"/>
    <w:rsid w:val="00836B05"/>
    <w:rsid w:val="00837000"/>
    <w:rsid w:val="0083710E"/>
    <w:rsid w:val="00840A6D"/>
    <w:rsid w:val="00840ADA"/>
    <w:rsid w:val="008417D7"/>
    <w:rsid w:val="008424BC"/>
    <w:rsid w:val="00842DDD"/>
    <w:rsid w:val="00843615"/>
    <w:rsid w:val="00843E4F"/>
    <w:rsid w:val="00843F26"/>
    <w:rsid w:val="0084421D"/>
    <w:rsid w:val="00844343"/>
    <w:rsid w:val="0084618F"/>
    <w:rsid w:val="00850E92"/>
    <w:rsid w:val="00852D59"/>
    <w:rsid w:val="00852F75"/>
    <w:rsid w:val="008552CF"/>
    <w:rsid w:val="00856589"/>
    <w:rsid w:val="00856B93"/>
    <w:rsid w:val="008574E9"/>
    <w:rsid w:val="00857BE7"/>
    <w:rsid w:val="00857CF9"/>
    <w:rsid w:val="0086051F"/>
    <w:rsid w:val="00860B0D"/>
    <w:rsid w:val="00861357"/>
    <w:rsid w:val="008631BF"/>
    <w:rsid w:val="0086328A"/>
    <w:rsid w:val="008632C9"/>
    <w:rsid w:val="008652C0"/>
    <w:rsid w:val="00865BF1"/>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2475"/>
    <w:rsid w:val="00884F89"/>
    <w:rsid w:val="00885970"/>
    <w:rsid w:val="00886C18"/>
    <w:rsid w:val="00890095"/>
    <w:rsid w:val="008905B5"/>
    <w:rsid w:val="0089186A"/>
    <w:rsid w:val="0089336D"/>
    <w:rsid w:val="00895E73"/>
    <w:rsid w:val="008A02CC"/>
    <w:rsid w:val="008A2F99"/>
    <w:rsid w:val="008A510B"/>
    <w:rsid w:val="008A54F9"/>
    <w:rsid w:val="008A5932"/>
    <w:rsid w:val="008A734E"/>
    <w:rsid w:val="008A7F4C"/>
    <w:rsid w:val="008B016E"/>
    <w:rsid w:val="008B0A37"/>
    <w:rsid w:val="008B0FE2"/>
    <w:rsid w:val="008B109E"/>
    <w:rsid w:val="008B1383"/>
    <w:rsid w:val="008B223D"/>
    <w:rsid w:val="008B2F07"/>
    <w:rsid w:val="008B4E9E"/>
    <w:rsid w:val="008B6625"/>
    <w:rsid w:val="008B66A5"/>
    <w:rsid w:val="008B6D0F"/>
    <w:rsid w:val="008B7244"/>
    <w:rsid w:val="008C0204"/>
    <w:rsid w:val="008C2881"/>
    <w:rsid w:val="008C2CFD"/>
    <w:rsid w:val="008C37B3"/>
    <w:rsid w:val="008C3D84"/>
    <w:rsid w:val="008C4CD1"/>
    <w:rsid w:val="008C55CC"/>
    <w:rsid w:val="008C5D8F"/>
    <w:rsid w:val="008C6C82"/>
    <w:rsid w:val="008C7291"/>
    <w:rsid w:val="008C768A"/>
    <w:rsid w:val="008D2434"/>
    <w:rsid w:val="008D3579"/>
    <w:rsid w:val="008D3C83"/>
    <w:rsid w:val="008D495B"/>
    <w:rsid w:val="008D4DE9"/>
    <w:rsid w:val="008D616A"/>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9E7"/>
    <w:rsid w:val="00906FA5"/>
    <w:rsid w:val="00910E8F"/>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25C40"/>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6F1"/>
    <w:rsid w:val="00953FC3"/>
    <w:rsid w:val="0095529A"/>
    <w:rsid w:val="00955C8F"/>
    <w:rsid w:val="00956348"/>
    <w:rsid w:val="009566EC"/>
    <w:rsid w:val="009568E2"/>
    <w:rsid w:val="00956922"/>
    <w:rsid w:val="009576E4"/>
    <w:rsid w:val="0096073E"/>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77C92"/>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0E89"/>
    <w:rsid w:val="009B24C0"/>
    <w:rsid w:val="009B2C49"/>
    <w:rsid w:val="009B4C2B"/>
    <w:rsid w:val="009B50DE"/>
    <w:rsid w:val="009B5B25"/>
    <w:rsid w:val="009B5D99"/>
    <w:rsid w:val="009B6859"/>
    <w:rsid w:val="009B688B"/>
    <w:rsid w:val="009C0582"/>
    <w:rsid w:val="009C1184"/>
    <w:rsid w:val="009C44B2"/>
    <w:rsid w:val="009C46D5"/>
    <w:rsid w:val="009C48F0"/>
    <w:rsid w:val="009C4CC9"/>
    <w:rsid w:val="009C5430"/>
    <w:rsid w:val="009C5788"/>
    <w:rsid w:val="009C57BD"/>
    <w:rsid w:val="009C5EE8"/>
    <w:rsid w:val="009D101B"/>
    <w:rsid w:val="009D152C"/>
    <w:rsid w:val="009D16AC"/>
    <w:rsid w:val="009D1A98"/>
    <w:rsid w:val="009D1DD9"/>
    <w:rsid w:val="009D3532"/>
    <w:rsid w:val="009D5115"/>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41C"/>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61173"/>
    <w:rsid w:val="00A62DAF"/>
    <w:rsid w:val="00A63105"/>
    <w:rsid w:val="00A6322C"/>
    <w:rsid w:val="00A63BD8"/>
    <w:rsid w:val="00A63E6D"/>
    <w:rsid w:val="00A64EA0"/>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3D61"/>
    <w:rsid w:val="00A74F9E"/>
    <w:rsid w:val="00A7627A"/>
    <w:rsid w:val="00A76458"/>
    <w:rsid w:val="00A76ACC"/>
    <w:rsid w:val="00A76D8D"/>
    <w:rsid w:val="00A775C8"/>
    <w:rsid w:val="00A7772B"/>
    <w:rsid w:val="00A801A8"/>
    <w:rsid w:val="00A806D5"/>
    <w:rsid w:val="00A80F3A"/>
    <w:rsid w:val="00A8258F"/>
    <w:rsid w:val="00A82971"/>
    <w:rsid w:val="00A82DCE"/>
    <w:rsid w:val="00A83220"/>
    <w:rsid w:val="00A83567"/>
    <w:rsid w:val="00A85794"/>
    <w:rsid w:val="00A872A4"/>
    <w:rsid w:val="00A876B0"/>
    <w:rsid w:val="00A87BA3"/>
    <w:rsid w:val="00A919BC"/>
    <w:rsid w:val="00A924F2"/>
    <w:rsid w:val="00A941A3"/>
    <w:rsid w:val="00A94FEE"/>
    <w:rsid w:val="00A9618E"/>
    <w:rsid w:val="00A963D2"/>
    <w:rsid w:val="00A9738A"/>
    <w:rsid w:val="00A978C3"/>
    <w:rsid w:val="00AA0053"/>
    <w:rsid w:val="00AA2ED7"/>
    <w:rsid w:val="00AA4D0C"/>
    <w:rsid w:val="00AA53ED"/>
    <w:rsid w:val="00AA5E46"/>
    <w:rsid w:val="00AA65F1"/>
    <w:rsid w:val="00AA78F1"/>
    <w:rsid w:val="00AB1065"/>
    <w:rsid w:val="00AB13AB"/>
    <w:rsid w:val="00AB28A6"/>
    <w:rsid w:val="00AB28C5"/>
    <w:rsid w:val="00AB2CD7"/>
    <w:rsid w:val="00AB32C5"/>
    <w:rsid w:val="00AB3502"/>
    <w:rsid w:val="00AB66F7"/>
    <w:rsid w:val="00AB6FC1"/>
    <w:rsid w:val="00AC020F"/>
    <w:rsid w:val="00AC0BBA"/>
    <w:rsid w:val="00AC0F1D"/>
    <w:rsid w:val="00AC29B9"/>
    <w:rsid w:val="00AC4D7E"/>
    <w:rsid w:val="00AC70AE"/>
    <w:rsid w:val="00AC7573"/>
    <w:rsid w:val="00AD0747"/>
    <w:rsid w:val="00AD12B5"/>
    <w:rsid w:val="00AD39EC"/>
    <w:rsid w:val="00AD4498"/>
    <w:rsid w:val="00AD459F"/>
    <w:rsid w:val="00AD617A"/>
    <w:rsid w:val="00AD77DF"/>
    <w:rsid w:val="00AD7E8A"/>
    <w:rsid w:val="00AE09A4"/>
    <w:rsid w:val="00AE0B25"/>
    <w:rsid w:val="00AE0B4F"/>
    <w:rsid w:val="00AE1682"/>
    <w:rsid w:val="00AE1743"/>
    <w:rsid w:val="00AE4FCC"/>
    <w:rsid w:val="00AE669A"/>
    <w:rsid w:val="00AE6E28"/>
    <w:rsid w:val="00AF3B3A"/>
    <w:rsid w:val="00AF492C"/>
    <w:rsid w:val="00AF5380"/>
    <w:rsid w:val="00AF69B4"/>
    <w:rsid w:val="00AF6D84"/>
    <w:rsid w:val="00AF72C1"/>
    <w:rsid w:val="00B00D27"/>
    <w:rsid w:val="00B017D6"/>
    <w:rsid w:val="00B024CF"/>
    <w:rsid w:val="00B04DF8"/>
    <w:rsid w:val="00B06B23"/>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5BBD"/>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03D"/>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4F6A"/>
    <w:rsid w:val="00BC57C6"/>
    <w:rsid w:val="00BC6A94"/>
    <w:rsid w:val="00BC6C41"/>
    <w:rsid w:val="00BC6EE5"/>
    <w:rsid w:val="00BC7689"/>
    <w:rsid w:val="00BD1041"/>
    <w:rsid w:val="00BD161A"/>
    <w:rsid w:val="00BD2DBB"/>
    <w:rsid w:val="00BD451B"/>
    <w:rsid w:val="00BD491F"/>
    <w:rsid w:val="00BD58BF"/>
    <w:rsid w:val="00BD5F23"/>
    <w:rsid w:val="00BD6F0E"/>
    <w:rsid w:val="00BD7C9F"/>
    <w:rsid w:val="00BE1A87"/>
    <w:rsid w:val="00BE29DB"/>
    <w:rsid w:val="00BE3625"/>
    <w:rsid w:val="00BE3798"/>
    <w:rsid w:val="00BE4C60"/>
    <w:rsid w:val="00BE5063"/>
    <w:rsid w:val="00BE5353"/>
    <w:rsid w:val="00BE5E6C"/>
    <w:rsid w:val="00BE6786"/>
    <w:rsid w:val="00BE749A"/>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3C9A"/>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3AB"/>
    <w:rsid w:val="00C3795E"/>
    <w:rsid w:val="00C40622"/>
    <w:rsid w:val="00C415A1"/>
    <w:rsid w:val="00C416E0"/>
    <w:rsid w:val="00C4393D"/>
    <w:rsid w:val="00C43D92"/>
    <w:rsid w:val="00C442E2"/>
    <w:rsid w:val="00C44C8A"/>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BA8"/>
    <w:rsid w:val="00C6454A"/>
    <w:rsid w:val="00C64972"/>
    <w:rsid w:val="00C655AD"/>
    <w:rsid w:val="00C661F0"/>
    <w:rsid w:val="00C66777"/>
    <w:rsid w:val="00C6779A"/>
    <w:rsid w:val="00C7148B"/>
    <w:rsid w:val="00C71F9C"/>
    <w:rsid w:val="00C7358E"/>
    <w:rsid w:val="00C73BDB"/>
    <w:rsid w:val="00C7494D"/>
    <w:rsid w:val="00C7495C"/>
    <w:rsid w:val="00C765AE"/>
    <w:rsid w:val="00C765F9"/>
    <w:rsid w:val="00C76FAE"/>
    <w:rsid w:val="00C77552"/>
    <w:rsid w:val="00C8056B"/>
    <w:rsid w:val="00C82653"/>
    <w:rsid w:val="00C828B8"/>
    <w:rsid w:val="00C82C9B"/>
    <w:rsid w:val="00C837F7"/>
    <w:rsid w:val="00C84013"/>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3B45"/>
    <w:rsid w:val="00CF4908"/>
    <w:rsid w:val="00CF4A05"/>
    <w:rsid w:val="00CF4ACC"/>
    <w:rsid w:val="00CF4BF5"/>
    <w:rsid w:val="00CF4EA7"/>
    <w:rsid w:val="00CF554C"/>
    <w:rsid w:val="00CF5BC1"/>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619"/>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7FD"/>
    <w:rsid w:val="00D54880"/>
    <w:rsid w:val="00D55EBF"/>
    <w:rsid w:val="00D56290"/>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4E2D"/>
    <w:rsid w:val="00DB68B6"/>
    <w:rsid w:val="00DB78E1"/>
    <w:rsid w:val="00DC0E47"/>
    <w:rsid w:val="00DC1192"/>
    <w:rsid w:val="00DC1AD5"/>
    <w:rsid w:val="00DC4886"/>
    <w:rsid w:val="00DC5066"/>
    <w:rsid w:val="00DC50C9"/>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4F4B"/>
    <w:rsid w:val="00DE684B"/>
    <w:rsid w:val="00DE698F"/>
    <w:rsid w:val="00DE6FAD"/>
    <w:rsid w:val="00DE7153"/>
    <w:rsid w:val="00DF095E"/>
    <w:rsid w:val="00DF0AB6"/>
    <w:rsid w:val="00DF1519"/>
    <w:rsid w:val="00DF227E"/>
    <w:rsid w:val="00DF25F6"/>
    <w:rsid w:val="00DF27C9"/>
    <w:rsid w:val="00DF2800"/>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84"/>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4C5"/>
    <w:rsid w:val="00E4095C"/>
    <w:rsid w:val="00E40EC3"/>
    <w:rsid w:val="00E419AA"/>
    <w:rsid w:val="00E41AAC"/>
    <w:rsid w:val="00E41D82"/>
    <w:rsid w:val="00E43DB5"/>
    <w:rsid w:val="00E4487C"/>
    <w:rsid w:val="00E45520"/>
    <w:rsid w:val="00E46953"/>
    <w:rsid w:val="00E472B8"/>
    <w:rsid w:val="00E50625"/>
    <w:rsid w:val="00E50C89"/>
    <w:rsid w:val="00E516BF"/>
    <w:rsid w:val="00E52282"/>
    <w:rsid w:val="00E52F0E"/>
    <w:rsid w:val="00E53403"/>
    <w:rsid w:val="00E53723"/>
    <w:rsid w:val="00E53746"/>
    <w:rsid w:val="00E53D85"/>
    <w:rsid w:val="00E54C1C"/>
    <w:rsid w:val="00E553AF"/>
    <w:rsid w:val="00E60459"/>
    <w:rsid w:val="00E60D5E"/>
    <w:rsid w:val="00E6105C"/>
    <w:rsid w:val="00E611EF"/>
    <w:rsid w:val="00E61565"/>
    <w:rsid w:val="00E63E93"/>
    <w:rsid w:val="00E63F42"/>
    <w:rsid w:val="00E65F73"/>
    <w:rsid w:val="00E67E92"/>
    <w:rsid w:val="00E717A0"/>
    <w:rsid w:val="00E71B98"/>
    <w:rsid w:val="00E71E14"/>
    <w:rsid w:val="00E72555"/>
    <w:rsid w:val="00E75618"/>
    <w:rsid w:val="00E75C04"/>
    <w:rsid w:val="00E75DCF"/>
    <w:rsid w:val="00E76310"/>
    <w:rsid w:val="00E770BA"/>
    <w:rsid w:val="00E803D1"/>
    <w:rsid w:val="00E8042D"/>
    <w:rsid w:val="00E80721"/>
    <w:rsid w:val="00E816FF"/>
    <w:rsid w:val="00E82DE5"/>
    <w:rsid w:val="00E8359F"/>
    <w:rsid w:val="00E841D9"/>
    <w:rsid w:val="00E84506"/>
    <w:rsid w:val="00E85D3C"/>
    <w:rsid w:val="00E866FC"/>
    <w:rsid w:val="00E87087"/>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18B4"/>
    <w:rsid w:val="00EA24A3"/>
    <w:rsid w:val="00EA2511"/>
    <w:rsid w:val="00EA286A"/>
    <w:rsid w:val="00EA3BD5"/>
    <w:rsid w:val="00EA4011"/>
    <w:rsid w:val="00EA53A9"/>
    <w:rsid w:val="00EB091D"/>
    <w:rsid w:val="00EB0F30"/>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182"/>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30F"/>
    <w:rsid w:val="00EF63E9"/>
    <w:rsid w:val="00EF723A"/>
    <w:rsid w:val="00F005FA"/>
    <w:rsid w:val="00F00A03"/>
    <w:rsid w:val="00F01643"/>
    <w:rsid w:val="00F01EA2"/>
    <w:rsid w:val="00F02EF4"/>
    <w:rsid w:val="00F03FBB"/>
    <w:rsid w:val="00F04ABE"/>
    <w:rsid w:val="00F05E7F"/>
    <w:rsid w:val="00F07A9F"/>
    <w:rsid w:val="00F07DD0"/>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9EC"/>
    <w:rsid w:val="00F35A7B"/>
    <w:rsid w:val="00F3653B"/>
    <w:rsid w:val="00F36A24"/>
    <w:rsid w:val="00F36BF8"/>
    <w:rsid w:val="00F409E1"/>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36E1"/>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77923"/>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6838"/>
    <w:rsid w:val="00F9751E"/>
    <w:rsid w:val="00F97EFF"/>
    <w:rsid w:val="00FA0B80"/>
    <w:rsid w:val="00FA17CF"/>
    <w:rsid w:val="00FA1954"/>
    <w:rsid w:val="00FA2571"/>
    <w:rsid w:val="00FA3988"/>
    <w:rsid w:val="00FA3FCD"/>
    <w:rsid w:val="00FA61C1"/>
    <w:rsid w:val="00FA6215"/>
    <w:rsid w:val="00FA64BF"/>
    <w:rsid w:val="00FB0179"/>
    <w:rsid w:val="00FB0907"/>
    <w:rsid w:val="00FB09A0"/>
    <w:rsid w:val="00FB27EE"/>
    <w:rsid w:val="00FB2E29"/>
    <w:rsid w:val="00FB4498"/>
    <w:rsid w:val="00FB455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2CB"/>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361"/>
    <w:rsid w:val="00FE182C"/>
    <w:rsid w:val="00FE1F6E"/>
    <w:rsid w:val="00FE3389"/>
    <w:rsid w:val="00FE36ED"/>
    <w:rsid w:val="00FE3B7B"/>
    <w:rsid w:val="00FE4F90"/>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CommentReference">
    <w:name w:val="annotation reference"/>
    <w:basedOn w:val="DefaultParagraphFont"/>
    <w:uiPriority w:val="99"/>
    <w:semiHidden/>
    <w:unhideWhenUsed/>
    <w:rsid w:val="00F951EE"/>
    <w:rPr>
      <w:sz w:val="16"/>
      <w:szCs w:val="16"/>
    </w:rPr>
  </w:style>
  <w:style w:type="paragraph" w:styleId="CommentText">
    <w:name w:val="annotation text"/>
    <w:basedOn w:val="Normal"/>
    <w:link w:val="CommentTextChar"/>
    <w:uiPriority w:val="99"/>
    <w:unhideWhenUsed/>
    <w:rsid w:val="00F951EE"/>
    <w:rPr>
      <w:sz w:val="20"/>
      <w:szCs w:val="20"/>
    </w:rPr>
  </w:style>
  <w:style w:type="character" w:customStyle="1" w:styleId="CommentTextChar">
    <w:name w:val="Comment Text Char"/>
    <w:basedOn w:val="DefaultParagraphFont"/>
    <w:link w:val="CommentText"/>
    <w:uiPriority w:val="99"/>
    <w:rsid w:val="00F951EE"/>
    <w:rPr>
      <w:sz w:val="20"/>
      <w:szCs w:val="20"/>
    </w:rPr>
  </w:style>
  <w:style w:type="paragraph" w:styleId="CommentSubject">
    <w:name w:val="annotation subject"/>
    <w:basedOn w:val="CommentText"/>
    <w:next w:val="CommentText"/>
    <w:link w:val="CommentSubjectChar"/>
    <w:uiPriority w:val="99"/>
    <w:semiHidden/>
    <w:unhideWhenUsed/>
    <w:rsid w:val="00F951EE"/>
    <w:rPr>
      <w:b/>
      <w:bCs/>
    </w:rPr>
  </w:style>
  <w:style w:type="character" w:customStyle="1" w:styleId="CommentSubjectChar">
    <w:name w:val="Comment Subject Char"/>
    <w:basedOn w:val="CommentTextChar"/>
    <w:link w:val="CommentSubject"/>
    <w:uiPriority w:val="99"/>
    <w:semiHidden/>
    <w:rsid w:val="00F951EE"/>
    <w:rPr>
      <w:b/>
      <w:bCs/>
      <w:sz w:val="20"/>
      <w:szCs w:val="20"/>
    </w:rPr>
  </w:style>
  <w:style w:type="paragraph" w:styleId="BalloonText">
    <w:name w:val="Balloon Text"/>
    <w:basedOn w:val="Normal"/>
    <w:link w:val="BalloonTextChar"/>
    <w:uiPriority w:val="99"/>
    <w:semiHidden/>
    <w:unhideWhenUsed/>
    <w:rsid w:val="00F951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EE"/>
    <w:rPr>
      <w:rFonts w:ascii="Segoe UI" w:hAnsi="Segoe UI" w:cs="Segoe UI"/>
      <w:sz w:val="18"/>
      <w:szCs w:val="18"/>
    </w:rPr>
  </w:style>
  <w:style w:type="paragraph" w:styleId="ListParagraph">
    <w:name w:val="List Paragraph"/>
    <w:basedOn w:val="Normal"/>
    <w:uiPriority w:val="34"/>
    <w:qFormat/>
    <w:rsid w:val="0056094F"/>
    <w:pPr>
      <w:spacing w:before="0" w:after="160" w:line="259" w:lineRule="auto"/>
      <w:ind w:left="720"/>
      <w:contextualSpacing/>
    </w:pPr>
  </w:style>
  <w:style w:type="paragraph" w:styleId="FootnoteText">
    <w:name w:val="footnote text"/>
    <w:basedOn w:val="Normal"/>
    <w:link w:val="FootnoteText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56094F"/>
    <w:rPr>
      <w:rFonts w:ascii="Times New Roman" w:eastAsia="Times New Roman" w:hAnsi="Times New Roman" w:cs="Times New Roman"/>
      <w:sz w:val="20"/>
      <w:szCs w:val="20"/>
      <w:lang w:val="en-GB" w:eastAsia="lv-LV"/>
    </w:rPr>
  </w:style>
  <w:style w:type="character" w:styleId="FootnoteReference">
    <w:name w:val="footnote reference"/>
    <w:aliases w:val="Footnote Reference Number,Footnote symbol"/>
    <w:uiPriority w:val="99"/>
    <w:rsid w:val="0056094F"/>
    <w:rPr>
      <w:vertAlign w:val="superscript"/>
    </w:rPr>
  </w:style>
  <w:style w:type="paragraph" w:styleId="HTMLPreformatted">
    <w:name w:val="HTML Preformatted"/>
    <w:basedOn w:val="Normal"/>
    <w:link w:val="HTMLPreformattedChar"/>
    <w:uiPriority w:val="99"/>
    <w:unhideWhenUsed/>
    <w:rsid w:val="0056094F"/>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DefaultParagraphFont"/>
    <w:rsid w:val="00E41AAC"/>
  </w:style>
  <w:style w:type="paragraph" w:styleId="NoSpacing">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Header">
    <w:name w:val="header"/>
    <w:basedOn w:val="Normal"/>
    <w:link w:val="HeaderChar"/>
    <w:uiPriority w:val="99"/>
    <w:unhideWhenUsed/>
    <w:rsid w:val="00674BCD"/>
    <w:pPr>
      <w:tabs>
        <w:tab w:val="center" w:pos="4536"/>
        <w:tab w:val="right" w:pos="9072"/>
      </w:tabs>
      <w:spacing w:before="0" w:after="0"/>
    </w:pPr>
  </w:style>
  <w:style w:type="character" w:customStyle="1" w:styleId="HeaderChar">
    <w:name w:val="Header Char"/>
    <w:basedOn w:val="DefaultParagraphFont"/>
    <w:link w:val="Header"/>
    <w:uiPriority w:val="99"/>
    <w:rsid w:val="00674BCD"/>
  </w:style>
  <w:style w:type="paragraph" w:styleId="Footer">
    <w:name w:val="footer"/>
    <w:basedOn w:val="Normal"/>
    <w:link w:val="FooterChar"/>
    <w:uiPriority w:val="99"/>
    <w:unhideWhenUsed/>
    <w:rsid w:val="00674BCD"/>
    <w:pPr>
      <w:tabs>
        <w:tab w:val="center" w:pos="4536"/>
        <w:tab w:val="right" w:pos="9072"/>
      </w:tabs>
      <w:spacing w:before="0" w:after="0"/>
    </w:pPr>
  </w:style>
  <w:style w:type="character" w:customStyle="1" w:styleId="FooterChar">
    <w:name w:val="Footer Char"/>
    <w:basedOn w:val="DefaultParagraphFont"/>
    <w:link w:val="Footer"/>
    <w:uiPriority w:val="99"/>
    <w:rsid w:val="00674BCD"/>
  </w:style>
  <w:style w:type="character" w:styleId="IntenseReference">
    <w:name w:val="Intense Reference"/>
    <w:basedOn w:val="DefaultParagraphFont"/>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D36AA5"/>
  </w:style>
  <w:style w:type="paragraph" w:styleId="Revision">
    <w:name w:val="Revision"/>
    <w:hidden/>
    <w:uiPriority w:val="99"/>
    <w:semiHidden/>
    <w:rsid w:val="00CC392C"/>
    <w:pPr>
      <w:spacing w:before="0" w:after="0"/>
    </w:pPr>
  </w:style>
  <w:style w:type="numbering" w:customStyle="1" w:styleId="NoList1">
    <w:name w:val="No List1"/>
    <w:next w:val="NoList"/>
    <w:uiPriority w:val="99"/>
    <w:semiHidden/>
    <w:unhideWhenUsed/>
    <w:rsid w:val="00D0103E"/>
  </w:style>
  <w:style w:type="table" w:styleId="TableGrid">
    <w:name w:val="Table Grid"/>
    <w:basedOn w:val="TableNormal"/>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A8D"/>
    <w:rPr>
      <w:color w:val="0563C1" w:themeColor="hyperlink"/>
      <w:u w:val="single"/>
    </w:rPr>
  </w:style>
  <w:style w:type="character" w:styleId="Emphasis">
    <w:name w:val="Emphasis"/>
    <w:basedOn w:val="DefaultParagraphFont"/>
    <w:uiPriority w:val="20"/>
    <w:qFormat/>
    <w:rsid w:val="00B30558"/>
    <w:rPr>
      <w:i/>
      <w:iCs/>
    </w:rPr>
  </w:style>
  <w:style w:type="paragraph" w:styleId="NormalWeb">
    <w:name w:val="Normal (Web)"/>
    <w:basedOn w:val="Normal"/>
    <w:uiPriority w:val="99"/>
    <w:semiHidden/>
    <w:unhideWhenUsed/>
    <w:rsid w:val="00793A2F"/>
    <w:rPr>
      <w:rFonts w:ascii="Times New Roman" w:hAnsi="Times New Roman" w:cs="Times New Roman"/>
      <w:sz w:val="24"/>
      <w:szCs w:val="24"/>
    </w:rPr>
  </w:style>
  <w:style w:type="character" w:customStyle="1" w:styleId="Bodytext285pt">
    <w:name w:val="Body text (2) + 8;5 pt"/>
    <w:basedOn w:val="DefaultParagraphFont"/>
    <w:rsid w:val="001368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14612759">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oporavka.gov.hr" TargetMode="External"/><Relationship Id="rId4" Type="http://schemas.openxmlformats.org/officeDocument/2006/relationships/settings" Target="settings.xml"/><Relationship Id="rId9" Type="http://schemas.openxmlformats.org/officeDocument/2006/relationships/hyperlink" Target="http://www.planoporavka.gov.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4C05-7A13-4266-BF4C-F669A4E5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10263</Words>
  <Characters>58502</Characters>
  <Application>Microsoft Office Word</Application>
  <DocSecurity>0</DocSecurity>
  <Lines>487</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2023-01-11T14:04:00Z</dcterms:created>
  <dcterms:modified xsi:type="dcterms:W3CDTF">2023-01-11T14:04:00Z</dcterms:modified>
</cp:coreProperties>
</file>