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1C97912B" w14:textId="77777777" w:rsidR="00677A10" w:rsidRDefault="00677A10" w:rsidP="0067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IZRAVNA DODJELA</w:t>
      </w:r>
      <w:r w:rsidRPr="00687C62">
        <w:rPr>
          <w:rFonts w:ascii="Times New Roman" w:hAnsi="Times New Roman" w:cs="Times New Roman"/>
          <w:b/>
          <w:sz w:val="28"/>
          <w:szCs w:val="28"/>
        </w:rPr>
        <w:t xml:space="preserve"> BESPOVRATNIH SREDSTAVA</w:t>
      </w:r>
      <w:r w:rsidRPr="00687C62" w:rsidDel="0060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A8F2FD" w14:textId="77777777" w:rsidR="00677A10" w:rsidRPr="00687C62" w:rsidRDefault="00677A10" w:rsidP="0067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„e-Sveučilišta“</w:t>
      </w:r>
    </w:p>
    <w:p w14:paraId="557EC1FB" w14:textId="77777777" w:rsidR="00677A10" w:rsidRPr="00687C62" w:rsidRDefault="00677A10" w:rsidP="00677A1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7F64">
        <w:rPr>
          <w:rFonts w:ascii="Times New Roman" w:hAnsi="Times New Roman" w:cs="Times New Roman"/>
          <w:b/>
          <w:sz w:val="28"/>
          <w:szCs w:val="28"/>
        </w:rPr>
        <w:t>(</w:t>
      </w:r>
      <w:r w:rsidRPr="00AE7F64">
        <w:rPr>
          <w:rFonts w:ascii="Times New Roman" w:hAnsi="Times New Roman" w:cs="Times New Roman"/>
          <w:b/>
          <w:i/>
          <w:sz w:val="28"/>
          <w:szCs w:val="28"/>
        </w:rPr>
        <w:t xml:space="preserve">referentni broj: </w:t>
      </w:r>
      <w:r w:rsidRPr="00FF0C66">
        <w:rPr>
          <w:rFonts w:ascii="Times New Roman" w:hAnsi="Times New Roman" w:cs="Times New Roman"/>
          <w:b/>
          <w:i/>
          <w:color w:val="000000"/>
          <w:sz w:val="28"/>
          <w:szCs w:val="28"/>
        </w:rPr>
        <w:t>C3.1. R2-I1.01</w:t>
      </w:r>
      <w:r w:rsidRPr="00AE7F6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07E19C3C" w:rsidR="00267F71" w:rsidRPr="00635C13" w:rsidRDefault="00E1638E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3</w:t>
      </w:r>
      <w:r w:rsidR="00267F71"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7B08FE69" w:rsidR="00267F71" w:rsidRPr="002B2B9B" w:rsidRDefault="00267F71" w:rsidP="008037CE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="007218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Partnera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6B95799F" w14:textId="77777777" w:rsidR="00626CA0" w:rsidRDefault="00626CA0" w:rsidP="008037CE"/>
    <w:p w14:paraId="0B128D86" w14:textId="77777777" w:rsidR="00267F71" w:rsidRPr="00267F71" w:rsidRDefault="00267F71" w:rsidP="006D6D3B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10CB5DDC" w:rsidR="00267F71" w:rsidRPr="00267F71" w:rsidRDefault="0050446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</w:t>
      </w:r>
      <w:r>
        <w:rPr>
          <w:rFonts w:ascii="Times New Roman" w:eastAsia="Times New Roman" w:hAnsi="Times New Roman" w:cs="Times New Roman"/>
          <w:i/>
        </w:rPr>
        <w:t>Partnera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64DC7119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osoba ovlaštena za zastupanje Partnera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osobno i u ime Partnera</w:t>
      </w:r>
      <w:r w:rsidR="006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2D1846FA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677A10">
        <w:rPr>
          <w:rFonts w:ascii="Times New Roman" w:eastAsia="Times New Roman" w:hAnsi="Times New Roman" w:cs="Times New Roman"/>
          <w:sz w:val="24"/>
          <w:szCs w:val="24"/>
        </w:rPr>
        <w:t>e-Sveučilišta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19DCA87E" w:rsidR="00267F71" w:rsidRDefault="00267F71" w:rsidP="006D6D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načelo</w:t>
      </w:r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>, odnosno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 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dno, osobno i u ime Partnera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3F5C0C82" w14:textId="77777777" w:rsidR="00ED150C" w:rsidRPr="00267F71" w:rsidRDefault="00ED150C" w:rsidP="006D6D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9A050" w14:textId="79033217" w:rsidR="00267F71" w:rsidRPr="00267F71" w:rsidRDefault="00267F71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</w:t>
      </w:r>
      <w:r w:rsidR="007218AB">
        <w:rPr>
          <w:rFonts w:ascii="Times New Roman" w:hAnsi="Times New Roman" w:cs="Times New Roman"/>
          <w:sz w:val="24"/>
          <w:szCs w:val="24"/>
        </w:rPr>
        <w:t>om ove Izjave osobno i u ime Partnera</w:t>
      </w:r>
      <w:r w:rsidRPr="00267F71">
        <w:rPr>
          <w:rFonts w:ascii="Times New Roman" w:hAnsi="Times New Roman" w:cs="Times New Roman"/>
          <w:sz w:val="24"/>
          <w:szCs w:val="24"/>
        </w:rPr>
        <w:t xml:space="preserve"> potvrđujem da su na</w:t>
      </w:r>
      <w:r w:rsidR="007218AB">
        <w:rPr>
          <w:rFonts w:ascii="Times New Roman" w:hAnsi="Times New Roman" w:cs="Times New Roman"/>
          <w:sz w:val="24"/>
          <w:szCs w:val="24"/>
        </w:rPr>
        <w:t xml:space="preserve"> strani Partnera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ispunjeni preduvjeti za sudjelovanje u postupku dodjele bespovratnih sredstava, odnosno da se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267F71">
        <w:rPr>
          <w:rFonts w:ascii="Times New Roman" w:hAnsi="Times New Roman" w:cs="Times New Roman"/>
          <w:sz w:val="24"/>
          <w:szCs w:val="24"/>
        </w:rPr>
        <w:t>, niti dolje spominjane osobe ne nalaze niti u jednoj od situacija:</w:t>
      </w:r>
    </w:p>
    <w:p w14:paraId="2CA80630" w14:textId="296E02E6" w:rsidR="00267F71" w:rsidRPr="001B3419" w:rsidRDefault="00DC1C6C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 xml:space="preserve">od </w:t>
      </w:r>
      <w:r w:rsidR="007218AB"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>je, kako je navedeno u članku 1. točki 4.a) Uredbe (EU) br. 651/2014, temeljem prethodne odluke Komisije kojom se potpora proglašava protuzakonitom i nespojivom s unutarnjim tržištem, zatražen povrat sredstava</w:t>
      </w:r>
      <w:r w:rsidRPr="001B3419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0D1AC709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lastRenderedPageBreak/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ili osoba ovlaštena po zakonu za zastupanje </w:t>
      </w:r>
      <w:r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(osobe koja je član upravnog, upravljačkog ili nadzornog tijela ili ima ovlasti zastupanja, donošenja odluka ili nadzora toga gospodarskog subjekta) </w:t>
      </w:r>
      <w:r w:rsidR="00DC1C6C" w:rsidRPr="001B3419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57E5CEF0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0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0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6E1A35AC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6FC41321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401FED73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5CBBEC34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25A576AE" w:rsidR="00422DA8" w:rsidRPr="00A13BB8" w:rsidRDefault="00422DA8" w:rsidP="00DF5647">
      <w:pPr>
        <w:pStyle w:val="NoSpacing"/>
        <w:numPr>
          <w:ilvl w:val="2"/>
          <w:numId w:val="14"/>
        </w:numPr>
        <w:spacing w:after="12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DF5647" w:rsidRPr="00DF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F8BE79D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>u je utvrđeno teško kršenje ugovora</w:t>
      </w:r>
      <w:r w:rsidR="00D47787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3016E848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ili osobe ovlaštene po zakonu za zastupanje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je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52611D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je znao ili morao znati da je u sukobu interesa u </w:t>
      </w:r>
      <w:r w:rsidR="000F2C07" w:rsidRPr="001B3419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60A6BAE6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00700EB9" w:rsidR="00267F71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>u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Pr="001B3419">
        <w:rPr>
          <w:rFonts w:ascii="Times New Roman" w:hAnsi="Times New Roman" w:cs="Times New Roman"/>
          <w:sz w:val="24"/>
          <w:szCs w:val="24"/>
        </w:rPr>
        <w:t>Partnera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(ako oni nemaju poslovni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nije udovoljio spomenutim uvjetima, ako mu, sukladno posebnom propisu, plaćanje tih obveza nije dopušteno ili mu je odobrena odgoda plaćanja</w:t>
      </w:r>
      <w:r w:rsidR="00AE73F7" w:rsidRPr="001B3419">
        <w:rPr>
          <w:rFonts w:ascii="Times New Roman" w:hAnsi="Times New Roman" w:cs="Times New Roman"/>
          <w:sz w:val="24"/>
          <w:szCs w:val="24"/>
        </w:rPr>
        <w:t>.</w:t>
      </w:r>
    </w:p>
    <w:p w14:paraId="4958A6F3" w14:textId="77777777" w:rsidR="00ED150C" w:rsidRPr="001B3419" w:rsidRDefault="00ED150C" w:rsidP="00FF0C66">
      <w:pPr>
        <w:pStyle w:val="ListParagraph"/>
        <w:spacing w:after="12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7296C5BF" w14:textId="581160E4" w:rsidR="00B95D55" w:rsidRDefault="00B95D55" w:rsidP="00803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potvrđujem da: </w:t>
      </w:r>
    </w:p>
    <w:p w14:paraId="1C82366B" w14:textId="7ED4F12F" w:rsidR="0010315C" w:rsidRDefault="0010315C" w:rsidP="00FF0C66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18AB" w:rsidRPr="006D6D3B">
        <w:rPr>
          <w:rFonts w:ascii="Times New Roman" w:hAnsi="Times New Roman" w:cs="Times New Roman"/>
          <w:sz w:val="24"/>
          <w:szCs w:val="24"/>
        </w:rPr>
        <w:t>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6D6D3B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29407204" w14:textId="5C3FF40B" w:rsidR="0010315C" w:rsidRPr="00FF0C66" w:rsidRDefault="0010315C" w:rsidP="00FF0C66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C66">
        <w:rPr>
          <w:rFonts w:ascii="Times New Roman" w:hAnsi="Times New Roman" w:cs="Times New Roman"/>
          <w:sz w:val="24"/>
          <w:szCs w:val="24"/>
        </w:rPr>
        <w:t>projekt u trenutku podnošenja projektnog prijedloga nije fizički niti financijski završen;</w:t>
      </w:r>
    </w:p>
    <w:p w14:paraId="732C670C" w14:textId="44EC2E71" w:rsidR="0010315C" w:rsidRDefault="0010315C" w:rsidP="00FF0C66">
      <w:pPr>
        <w:pStyle w:val="ListParagraph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E4512E" w:rsidRPr="00E4512E">
        <w:rPr>
          <w:rFonts w:ascii="Times New Roman" w:hAnsi="Times New Roman" w:cs="Times New Roman"/>
          <w:sz w:val="24"/>
          <w:szCs w:val="24"/>
        </w:rPr>
        <w:t>Uredbe o popisu robe vojne namjene, obrambenih proizvoda i nevojnih ubojnih sredstava (NN 26/18, 37/18, 69/19, 107/21)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90F22" w14:textId="77777777" w:rsidR="0010315C" w:rsidRDefault="0010315C" w:rsidP="00FF0C66">
      <w:pPr>
        <w:pStyle w:val="ListParagraph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66">
        <w:rPr>
          <w:rFonts w:ascii="Times New Roman" w:hAnsi="Times New Roman" w:cs="Times New Roman"/>
          <w:sz w:val="24"/>
          <w:szCs w:val="24"/>
        </w:rPr>
        <w:t xml:space="preserve">projekt ne uključuje aktivnosti koje su bile dio operacije koja je, ili je trebala biti, podložna postupku povrata sredstava (u skladu s člankom 125. stavkom 3(f) Uredbe </w:t>
      </w:r>
      <w:r w:rsidRPr="00FF0C66">
        <w:rPr>
          <w:rFonts w:ascii="Times New Roman" w:hAnsi="Times New Roman" w:cs="Times New Roman"/>
          <w:sz w:val="24"/>
          <w:szCs w:val="24"/>
        </w:rPr>
        <w:lastRenderedPageBreak/>
        <w:t>(EU) br. 1303/2013) nakon promjene proizvodne aktivnosti izvan programskog područja;</w:t>
      </w:r>
    </w:p>
    <w:p w14:paraId="772B6BD0" w14:textId="77777777" w:rsidR="0010315C" w:rsidRDefault="0010315C" w:rsidP="00FF0C66">
      <w:pPr>
        <w:pStyle w:val="ListParagraph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66">
        <w:rPr>
          <w:rFonts w:ascii="Times New Roman" w:hAnsi="Times New Roman" w:cs="Times New Roman"/>
          <w:sz w:val="24"/>
          <w:szCs w:val="24"/>
        </w:rPr>
        <w:t>projekt je u skladu s odredbama svih relevantnih nacionalnih zakonodavnih akata, te u skladu sa specifičnim pravilima i zahtjevima primjenjivima na ovu Izravnu dodjelu;</w:t>
      </w:r>
    </w:p>
    <w:p w14:paraId="3AA9C5A4" w14:textId="4D0FEE07" w:rsidR="0010315C" w:rsidRPr="00FF0C66" w:rsidRDefault="0010315C" w:rsidP="00FF0C66">
      <w:pPr>
        <w:pStyle w:val="ListParagraph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66">
        <w:rPr>
          <w:rFonts w:ascii="Times New Roman" w:hAnsi="Times New Roman" w:cs="Times New Roman"/>
          <w:sz w:val="24"/>
          <w:szCs w:val="24"/>
        </w:rPr>
        <w:t>projekt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projekta);</w:t>
      </w:r>
    </w:p>
    <w:p w14:paraId="50A08871" w14:textId="11233D98" w:rsidR="0010315C" w:rsidRPr="00FF0C66" w:rsidRDefault="0010315C" w:rsidP="00FF0C66">
      <w:pPr>
        <w:pStyle w:val="ListParagraph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</w:t>
      </w:r>
      <w:r>
        <w:rPr>
          <w:rFonts w:ascii="Times New Roman" w:hAnsi="Times New Roman" w:cs="Times New Roman"/>
          <w:sz w:val="24"/>
          <w:szCs w:val="24"/>
        </w:rPr>
        <w:t xml:space="preserve"> projekta definiranim u </w:t>
      </w:r>
      <w:r w:rsidR="004753AB">
        <w:rPr>
          <w:rFonts w:ascii="Times New Roman" w:hAnsi="Times New Roman" w:cs="Times New Roman"/>
          <w:sz w:val="24"/>
          <w:szCs w:val="24"/>
        </w:rPr>
        <w:t xml:space="preserve">poglavlju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„5.1. </w:t>
      </w:r>
      <w:r w:rsidRPr="00B95D55">
        <w:rPr>
          <w:rFonts w:ascii="Times New Roman" w:hAnsi="Times New Roman" w:cs="Times New Roman"/>
          <w:sz w:val="24"/>
          <w:szCs w:val="24"/>
        </w:rPr>
        <w:t>Razdoblje provedbe projekta“ ovih Uputa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12222" w14:textId="77777777" w:rsidR="00B37778" w:rsidRDefault="00B37778" w:rsidP="00B3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Potvrđujem da:</w:t>
      </w:r>
    </w:p>
    <w:p w14:paraId="72172E71" w14:textId="77777777" w:rsidR="00B37778" w:rsidRDefault="00B37778" w:rsidP="00B37778">
      <w:pPr>
        <w:pStyle w:val="ListParagraph"/>
        <w:numPr>
          <w:ilvl w:val="0"/>
          <w:numId w:val="15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>sam suglasan/suglasna da se cjelokupna prijavna dokumentacija i podaci iz procjene projektnih prijedloga koriste u svrhu provedbe vrednovanja Poziva, bez obzira na to hoće li Prijavitelj ostvariti potporu ili ne;</w:t>
      </w:r>
    </w:p>
    <w:p w14:paraId="7E5D98D0" w14:textId="4202CD9C" w:rsidR="00B37778" w:rsidRPr="00A76357" w:rsidRDefault="00B37778" w:rsidP="00B37778">
      <w:pPr>
        <w:pStyle w:val="ListParagraph"/>
        <w:numPr>
          <w:ilvl w:val="0"/>
          <w:numId w:val="15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357">
        <w:rPr>
          <w:rFonts w:ascii="Times New Roman" w:hAnsi="Times New Roman" w:cs="Times New Roman"/>
          <w:sz w:val="24"/>
          <w:szCs w:val="24"/>
        </w:rPr>
        <w:t xml:space="preserve">sam suglasan/suglasna da </w:t>
      </w:r>
      <w:r>
        <w:rPr>
          <w:rFonts w:ascii="Times New Roman" w:hAnsi="Times New Roman" w:cs="Times New Roman"/>
          <w:sz w:val="24"/>
          <w:szCs w:val="24"/>
        </w:rPr>
        <w:t>se Partnera</w:t>
      </w:r>
      <w:r w:rsidRPr="00A76357">
        <w:rPr>
          <w:rFonts w:ascii="Times New Roman" w:hAnsi="Times New Roman" w:cs="Times New Roman"/>
          <w:sz w:val="24"/>
          <w:szCs w:val="24"/>
        </w:rPr>
        <w:t xml:space="preserve"> kontaktira za sudjelovanje u </w:t>
      </w:r>
      <w:r>
        <w:rPr>
          <w:rFonts w:ascii="Times New Roman" w:hAnsi="Times New Roman" w:cs="Times New Roman"/>
          <w:sz w:val="24"/>
          <w:szCs w:val="24"/>
        </w:rPr>
        <w:t xml:space="preserve">budućim </w:t>
      </w:r>
      <w:r w:rsidRPr="00A76357">
        <w:rPr>
          <w:rFonts w:ascii="Times New Roman" w:hAnsi="Times New Roman" w:cs="Times New Roman"/>
          <w:sz w:val="24"/>
          <w:szCs w:val="24"/>
        </w:rPr>
        <w:t xml:space="preserve">anketama vezano za Poziv, ukoliko ih nadležna tijela odluče provesti, bez obzira na to </w:t>
      </w:r>
      <w:r>
        <w:rPr>
          <w:rFonts w:ascii="Times New Roman" w:hAnsi="Times New Roman" w:cs="Times New Roman"/>
          <w:sz w:val="24"/>
          <w:szCs w:val="24"/>
        </w:rPr>
        <w:t>hoće</w:t>
      </w:r>
      <w:r w:rsidRPr="00A76357">
        <w:rPr>
          <w:rFonts w:ascii="Times New Roman" w:hAnsi="Times New Roman" w:cs="Times New Roman"/>
          <w:sz w:val="24"/>
          <w:szCs w:val="24"/>
        </w:rPr>
        <w:t xml:space="preserve"> li </w:t>
      </w:r>
      <w:r>
        <w:rPr>
          <w:rFonts w:ascii="Times New Roman" w:hAnsi="Times New Roman" w:cs="Times New Roman"/>
          <w:sz w:val="24"/>
          <w:szCs w:val="24"/>
        </w:rPr>
        <w:t>Prijavitelj</w:t>
      </w:r>
      <w:r w:rsidRPr="00A76357">
        <w:rPr>
          <w:rFonts w:ascii="Times New Roman" w:hAnsi="Times New Roman" w:cs="Times New Roman"/>
          <w:sz w:val="24"/>
          <w:szCs w:val="24"/>
        </w:rPr>
        <w:t xml:space="preserve"> ostvar</w:t>
      </w:r>
      <w:r>
        <w:rPr>
          <w:rFonts w:ascii="Times New Roman" w:hAnsi="Times New Roman" w:cs="Times New Roman"/>
          <w:sz w:val="24"/>
          <w:szCs w:val="24"/>
        </w:rPr>
        <w:t>iti potporu</w:t>
      </w:r>
      <w:r w:rsidRPr="00A76357">
        <w:rPr>
          <w:rFonts w:ascii="Times New Roman" w:hAnsi="Times New Roman" w:cs="Times New Roman"/>
          <w:sz w:val="24"/>
          <w:szCs w:val="24"/>
        </w:rPr>
        <w:t xml:space="preserve"> ili ne</w:t>
      </w:r>
      <w:r>
        <w:rPr>
          <w:rFonts w:ascii="Times New Roman" w:hAnsi="Times New Roman" w:cs="Times New Roman"/>
          <w:sz w:val="24"/>
          <w:szCs w:val="24"/>
        </w:rPr>
        <w:t>, te</w:t>
      </w:r>
      <w:r w:rsidRPr="00A76357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69099C4E" w14:textId="17624428" w:rsidR="00ED150C" w:rsidRPr="00FF0C66" w:rsidRDefault="00ED150C" w:rsidP="00FF0C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14669A52" w:rsidR="00DC7E35" w:rsidRPr="00DC7E35" w:rsidRDefault="00DC7E35" w:rsidP="006D6D3B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</w:t>
      </w:r>
      <w:r w:rsidR="00B377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potvrđujem da sam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i kao osoba po zakonu ovlaštena za zastupanje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5E7F1B28" w14:textId="60A78447" w:rsidR="00DC7E35" w:rsidRDefault="00DC7E35" w:rsidP="006D6D3B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04461" w:rsidRPr="001E2B75" w14:paraId="6A534BCA" w14:textId="77777777" w:rsidTr="00FD1873">
        <w:tc>
          <w:tcPr>
            <w:tcW w:w="5000" w:type="pct"/>
          </w:tcPr>
          <w:p w14:paraId="1F71BB9E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693771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0F0ABBFC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29DA5CA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39217605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3B96140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09D4C060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41E4DA7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39E2542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5080B86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0AEF6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5333C978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4C4DE2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F8C6AF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18F17BC6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03262B2F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EA2D" w14:textId="77777777" w:rsidR="00F940DC" w:rsidRDefault="00F940DC" w:rsidP="00DC7E35">
      <w:pPr>
        <w:spacing w:after="0" w:line="240" w:lineRule="auto"/>
      </w:pPr>
      <w:r>
        <w:separator/>
      </w:r>
    </w:p>
  </w:endnote>
  <w:endnote w:type="continuationSeparator" w:id="0">
    <w:p w14:paraId="35AE5045" w14:textId="77777777" w:rsidR="00F940DC" w:rsidRDefault="00F940DC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09D45CE4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53A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53A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273A" w14:textId="77777777" w:rsidR="00F940DC" w:rsidRDefault="00F940DC" w:rsidP="00DC7E35">
      <w:pPr>
        <w:spacing w:after="0" w:line="240" w:lineRule="auto"/>
      </w:pPr>
      <w:r>
        <w:separator/>
      </w:r>
    </w:p>
  </w:footnote>
  <w:footnote w:type="continuationSeparator" w:id="0">
    <w:p w14:paraId="3BD7B0FE" w14:textId="77777777" w:rsidR="00F940DC" w:rsidRDefault="00F940DC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28"/>
    <w:multiLevelType w:val="hybridMultilevel"/>
    <w:tmpl w:val="66E4BA6C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4E74468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2C3"/>
    <w:multiLevelType w:val="hybridMultilevel"/>
    <w:tmpl w:val="DA5A5602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20D6D"/>
    <w:multiLevelType w:val="hybridMultilevel"/>
    <w:tmpl w:val="94C850F2"/>
    <w:lvl w:ilvl="0" w:tplc="F65E3D94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80415"/>
    <w:multiLevelType w:val="hybridMultilevel"/>
    <w:tmpl w:val="B7386C62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39E7"/>
    <w:multiLevelType w:val="hybridMultilevel"/>
    <w:tmpl w:val="7C4A8BAC"/>
    <w:lvl w:ilvl="0" w:tplc="71E28B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3724D"/>
    <w:rsid w:val="00096776"/>
    <w:rsid w:val="000C1EA7"/>
    <w:rsid w:val="000D7350"/>
    <w:rsid w:val="000F2C07"/>
    <w:rsid w:val="0010315C"/>
    <w:rsid w:val="001151CE"/>
    <w:rsid w:val="00155742"/>
    <w:rsid w:val="00161983"/>
    <w:rsid w:val="001B3419"/>
    <w:rsid w:val="001C49E6"/>
    <w:rsid w:val="00267F71"/>
    <w:rsid w:val="003453C1"/>
    <w:rsid w:val="00364F66"/>
    <w:rsid w:val="00422DA8"/>
    <w:rsid w:val="00436A04"/>
    <w:rsid w:val="004753AB"/>
    <w:rsid w:val="004E4B35"/>
    <w:rsid w:val="00504461"/>
    <w:rsid w:val="005B2B57"/>
    <w:rsid w:val="00626CA0"/>
    <w:rsid w:val="00635C13"/>
    <w:rsid w:val="00677A10"/>
    <w:rsid w:val="006B3534"/>
    <w:rsid w:val="006B53B8"/>
    <w:rsid w:val="006D6D3B"/>
    <w:rsid w:val="006E00FC"/>
    <w:rsid w:val="007218AB"/>
    <w:rsid w:val="007E6366"/>
    <w:rsid w:val="008037CE"/>
    <w:rsid w:val="008173E7"/>
    <w:rsid w:val="00821554"/>
    <w:rsid w:val="00822641"/>
    <w:rsid w:val="00885431"/>
    <w:rsid w:val="008932D7"/>
    <w:rsid w:val="008D1BCD"/>
    <w:rsid w:val="00920C06"/>
    <w:rsid w:val="00A43710"/>
    <w:rsid w:val="00A737D1"/>
    <w:rsid w:val="00A76BBC"/>
    <w:rsid w:val="00AE73F7"/>
    <w:rsid w:val="00AE7F64"/>
    <w:rsid w:val="00B371BF"/>
    <w:rsid w:val="00B37778"/>
    <w:rsid w:val="00B95D55"/>
    <w:rsid w:val="00BE1813"/>
    <w:rsid w:val="00D46B92"/>
    <w:rsid w:val="00D47787"/>
    <w:rsid w:val="00D903D8"/>
    <w:rsid w:val="00DB58A8"/>
    <w:rsid w:val="00DC1C6C"/>
    <w:rsid w:val="00DC7E35"/>
    <w:rsid w:val="00DF5647"/>
    <w:rsid w:val="00E1638E"/>
    <w:rsid w:val="00E4512E"/>
    <w:rsid w:val="00E7207C"/>
    <w:rsid w:val="00EA2D38"/>
    <w:rsid w:val="00EC015E"/>
    <w:rsid w:val="00ED150C"/>
    <w:rsid w:val="00F3002F"/>
    <w:rsid w:val="00F940DC"/>
    <w:rsid w:val="00FC7CD7"/>
    <w:rsid w:val="00FE0041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504461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3D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D8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B66C-BD69-487E-B764-285DDA4D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11</cp:revision>
  <cp:lastPrinted>2022-12-22T13:39:00Z</cp:lastPrinted>
  <dcterms:created xsi:type="dcterms:W3CDTF">2022-12-23T08:05:00Z</dcterms:created>
  <dcterms:modified xsi:type="dcterms:W3CDTF">2023-04-12T13:17:00Z</dcterms:modified>
</cp:coreProperties>
</file>