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45" w:rsidRPr="00615E8F" w:rsidRDefault="00BD6645" w:rsidP="00BD6645">
      <w:pPr>
        <w:jc w:val="center"/>
        <w:rPr>
          <w:rFonts w:ascii="Times New Roman" w:hAnsi="Times New Roman" w:cs="Times New Roman"/>
          <w:b/>
          <w:sz w:val="32"/>
        </w:rPr>
      </w:pPr>
    </w:p>
    <w:p w:rsidR="00BD6645" w:rsidRPr="00615E8F" w:rsidRDefault="00BD6645" w:rsidP="00BD6645">
      <w:pPr>
        <w:jc w:val="center"/>
        <w:rPr>
          <w:rFonts w:ascii="Times New Roman" w:hAnsi="Times New Roman" w:cs="Times New Roman"/>
          <w:b/>
          <w:sz w:val="28"/>
        </w:rPr>
      </w:pPr>
      <w:r w:rsidRPr="00615E8F">
        <w:rPr>
          <w:rFonts w:ascii="Times New Roman" w:hAnsi="Times New Roman" w:cs="Times New Roman"/>
          <w:b/>
          <w:sz w:val="28"/>
        </w:rPr>
        <w:t>POZIV NA DODJELU BESPOVRATNIH SREDSTAVA</w:t>
      </w:r>
      <w:r w:rsidRPr="00615E8F" w:rsidDel="006033F3">
        <w:rPr>
          <w:rFonts w:ascii="Times New Roman" w:hAnsi="Times New Roman" w:cs="Times New Roman"/>
          <w:b/>
          <w:sz w:val="28"/>
        </w:rPr>
        <w:t xml:space="preserve"> </w:t>
      </w:r>
    </w:p>
    <w:p w:rsidR="00BD6645" w:rsidRPr="00687C62" w:rsidRDefault="00BD6645" w:rsidP="00BD6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>„e-Sveučilišta“</w:t>
      </w:r>
    </w:p>
    <w:p w:rsidR="00BD6645" w:rsidRPr="00687C62" w:rsidRDefault="00BD6645" w:rsidP="00BD664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344D">
        <w:rPr>
          <w:rFonts w:ascii="Times New Roman" w:hAnsi="Times New Roman" w:cs="Times New Roman"/>
          <w:b/>
          <w:sz w:val="28"/>
          <w:szCs w:val="28"/>
        </w:rPr>
        <w:t>(</w:t>
      </w:r>
      <w:r w:rsidRPr="0030344D">
        <w:rPr>
          <w:rFonts w:ascii="Times New Roman" w:hAnsi="Times New Roman" w:cs="Times New Roman"/>
          <w:b/>
          <w:i/>
          <w:sz w:val="28"/>
          <w:szCs w:val="28"/>
        </w:rPr>
        <w:t xml:space="preserve">referentni broj: </w:t>
      </w:r>
      <w:r w:rsidRPr="0030344D">
        <w:rPr>
          <w:rFonts w:ascii="Times New Roman" w:hAnsi="Times New Roman" w:cs="Times New Roman"/>
          <w:b/>
          <w:i/>
          <w:color w:val="000000"/>
          <w:sz w:val="28"/>
          <w:szCs w:val="28"/>
        </w:rPr>
        <w:t>C3.1. R2-I1.01</w:t>
      </w:r>
      <w:r w:rsidRPr="0030344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6645" w:rsidRPr="00615E8F" w:rsidRDefault="00BD6645" w:rsidP="00BD6645">
      <w:pPr>
        <w:jc w:val="center"/>
        <w:rPr>
          <w:rFonts w:ascii="Times New Roman" w:hAnsi="Times New Roman" w:cs="Times New Roman"/>
          <w:b/>
          <w:sz w:val="24"/>
        </w:rPr>
      </w:pPr>
    </w:p>
    <w:p w:rsidR="00BD6645" w:rsidRDefault="00BD6645" w:rsidP="00BD6645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615E8F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PRILOG </w:t>
      </w:r>
      <w:r w:rsidRPr="00615E8F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</w:rPr>
        <w:t>2</w:t>
      </w:r>
      <w:r w:rsidRPr="00615E8F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:rsidR="00BD6645" w:rsidRPr="004A70BE" w:rsidRDefault="00BD6645" w:rsidP="00BD6645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14"/>
          <w:szCs w:val="40"/>
          <w:lang w:eastAsia="hr-HR"/>
        </w:rPr>
      </w:pPr>
    </w:p>
    <w:p w:rsidR="00BD6645" w:rsidRPr="00C13D33" w:rsidRDefault="00BD6645" w:rsidP="00BD6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E8F">
        <w:rPr>
          <w:rFonts w:ascii="Times New Roman" w:hAnsi="Times New Roman" w:cs="Times New Roman"/>
          <w:b/>
          <w:sz w:val="28"/>
          <w:szCs w:val="28"/>
        </w:rPr>
        <w:t>Obavezni sadržaj sporazuma o partnerstvu između prijavitelja i partnera</w:t>
      </w:r>
    </w:p>
    <w:p w:rsidR="00BD6645" w:rsidRPr="00615E8F" w:rsidRDefault="00BD6645" w:rsidP="00BD6645">
      <w:pPr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Sporazum se sklapa na razini konzorcija, odnosno između prijavitelja i svih partnera zajedno.</w:t>
      </w:r>
    </w:p>
    <w:p w:rsidR="00BD6645" w:rsidRPr="00615E8F" w:rsidRDefault="00BD6645" w:rsidP="00BD6645">
      <w:pPr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Odredbe koje je potrebno obavezno definirati:</w:t>
      </w:r>
    </w:p>
    <w:p w:rsidR="00BD6645" w:rsidRPr="00615E8F" w:rsidRDefault="00BD6645" w:rsidP="00BD6645">
      <w:pPr>
        <w:pStyle w:val="ListParagraph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Cs/>
        </w:rPr>
      </w:pPr>
      <w:r w:rsidRPr="00615E8F">
        <w:rPr>
          <w:rFonts w:ascii="Times New Roman" w:hAnsi="Times New Roman" w:cs="Times New Roman"/>
          <w:sz w:val="24"/>
          <w:szCs w:val="24"/>
        </w:rPr>
        <w:t>odredbe koje se odnose na definiranje svrhe</w:t>
      </w:r>
      <w:r>
        <w:rPr>
          <w:rFonts w:ascii="Times New Roman" w:hAnsi="Times New Roman" w:cs="Times New Roman"/>
          <w:sz w:val="24"/>
          <w:szCs w:val="24"/>
        </w:rPr>
        <w:t xml:space="preserve"> tj. </w:t>
      </w:r>
      <w:r w:rsidRPr="00615E8F">
        <w:rPr>
          <w:rFonts w:ascii="Times New Roman" w:hAnsi="Times New Roman" w:cs="Times New Roman"/>
          <w:sz w:val="24"/>
          <w:szCs w:val="24"/>
        </w:rPr>
        <w:t>cilja</w:t>
      </w:r>
      <w:r>
        <w:rPr>
          <w:rFonts w:ascii="Times New Roman" w:hAnsi="Times New Roman" w:cs="Times New Roman"/>
          <w:sz w:val="24"/>
          <w:szCs w:val="24"/>
        </w:rPr>
        <w:t xml:space="preserve"> suradnje odnosno </w:t>
      </w:r>
      <w:r w:rsidRPr="00615E8F">
        <w:rPr>
          <w:rFonts w:ascii="Times New Roman" w:hAnsi="Times New Roman" w:cs="Times New Roman"/>
          <w:sz w:val="24"/>
          <w:szCs w:val="24"/>
        </w:rPr>
        <w:t>partnerstva; uloge i odgovornosti</w:t>
      </w:r>
      <w:r>
        <w:rPr>
          <w:rFonts w:ascii="Times New Roman" w:hAnsi="Times New Roman" w:cs="Times New Roman"/>
          <w:sz w:val="24"/>
          <w:szCs w:val="24"/>
        </w:rPr>
        <w:t xml:space="preserve"> svih</w:t>
      </w:r>
      <w:r w:rsidRPr="00615E8F">
        <w:rPr>
          <w:rFonts w:ascii="Times New Roman" w:hAnsi="Times New Roman" w:cs="Times New Roman"/>
          <w:sz w:val="24"/>
          <w:szCs w:val="24"/>
        </w:rPr>
        <w:t xml:space="preserve"> strana sporazuma (zadaće i obveze korisnika i </w:t>
      </w:r>
      <w:r>
        <w:rPr>
          <w:rFonts w:ascii="Times New Roman" w:hAnsi="Times New Roman" w:cs="Times New Roman"/>
          <w:sz w:val="24"/>
          <w:szCs w:val="24"/>
        </w:rPr>
        <w:t xml:space="preserve">svih </w:t>
      </w:r>
      <w:r w:rsidRPr="00615E8F">
        <w:rPr>
          <w:rFonts w:ascii="Times New Roman" w:hAnsi="Times New Roman" w:cs="Times New Roman"/>
          <w:sz w:val="24"/>
          <w:szCs w:val="24"/>
        </w:rPr>
        <w:t>partnera u provedbi aktivnosti projekta i podjeli rizika) i koordinatora konzorcija; način odlučivanja na razini konzorcija, otkaz, raskid, izmjene i prijenos sporazuma, viša sila, primjenjivo pravo i rješavanje spora;</w:t>
      </w:r>
    </w:p>
    <w:p w:rsidR="00BD6645" w:rsidRPr="00615E8F" w:rsidRDefault="00BD6645" w:rsidP="00BD6645">
      <w:pPr>
        <w:pStyle w:val="ListParagraph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informacija o uvjetima suradnje i upravlj</w:t>
      </w:r>
      <w:r>
        <w:rPr>
          <w:rFonts w:ascii="Times New Roman" w:hAnsi="Times New Roman" w:cs="Times New Roman"/>
          <w:sz w:val="24"/>
          <w:szCs w:val="24"/>
        </w:rPr>
        <w:t>anju intelektualnim vlasništvom -</w:t>
      </w:r>
      <w:r w:rsidRPr="00615E8F">
        <w:rPr>
          <w:rFonts w:ascii="Times New Roman" w:hAnsi="Times New Roman" w:cs="Times New Roman"/>
          <w:sz w:val="24"/>
          <w:szCs w:val="24"/>
        </w:rPr>
        <w:t xml:space="preserve"> ove odredbe moraju otkloniti mogućnost da poduzetnik primi neizravnu državnu potporu.</w:t>
      </w:r>
    </w:p>
    <w:p w:rsidR="00BD6645" w:rsidRPr="00615E8F" w:rsidRDefault="00BD6645" w:rsidP="00BD664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Sukladno pravilima o državnim potpo</w:t>
      </w:r>
      <w:r>
        <w:rPr>
          <w:rFonts w:ascii="Times New Roman" w:hAnsi="Times New Roman" w:cs="Times New Roman"/>
          <w:sz w:val="24"/>
          <w:szCs w:val="24"/>
        </w:rPr>
        <w:t xml:space="preserve">rama, u slučaju kada je istraživačka organizacija prijavitelj, a poduzetnik </w:t>
      </w:r>
      <w:r w:rsidRPr="00350C7B">
        <w:rPr>
          <w:rFonts w:ascii="Times New Roman" w:hAnsi="Times New Roman" w:cs="Times New Roman"/>
          <w:sz w:val="24"/>
          <w:szCs w:val="24"/>
        </w:rPr>
        <w:t>(ili više njih)</w:t>
      </w:r>
      <w:r>
        <w:rPr>
          <w:rFonts w:ascii="Times New Roman" w:hAnsi="Times New Roman" w:cs="Times New Roman"/>
          <w:sz w:val="24"/>
          <w:szCs w:val="24"/>
        </w:rPr>
        <w:t xml:space="preserve"> partner </w:t>
      </w:r>
      <w:r w:rsidRPr="00615E8F">
        <w:rPr>
          <w:rFonts w:ascii="Times New Roman" w:hAnsi="Times New Roman" w:cs="Times New Roman"/>
          <w:sz w:val="24"/>
          <w:szCs w:val="24"/>
        </w:rPr>
        <w:t xml:space="preserve">na projektu, </w:t>
      </w:r>
      <w:r>
        <w:rPr>
          <w:rFonts w:ascii="Times New Roman" w:hAnsi="Times New Roman" w:cs="Times New Roman"/>
          <w:sz w:val="24"/>
          <w:szCs w:val="24"/>
        </w:rPr>
        <w:t xml:space="preserve">poduzetnik koji je partner </w:t>
      </w:r>
      <w:r w:rsidRPr="00615E8F">
        <w:rPr>
          <w:rFonts w:ascii="Times New Roman" w:hAnsi="Times New Roman" w:cs="Times New Roman"/>
          <w:sz w:val="24"/>
          <w:szCs w:val="24"/>
        </w:rPr>
        <w:t>ne smije primiti neizravnu državnu potporu. Kako bi se izbjegla dodjela neizravne državne potpore poduzetnicima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5E8F">
        <w:rPr>
          <w:rFonts w:ascii="Times New Roman" w:hAnsi="Times New Roman" w:cs="Times New Roman"/>
          <w:sz w:val="24"/>
          <w:szCs w:val="24"/>
        </w:rPr>
        <w:t xml:space="preserve"> jedan od sljedećih uvjeta suradnje mora biti ispunjen:</w:t>
      </w:r>
    </w:p>
    <w:p w:rsidR="00BD6645" w:rsidRPr="00615E8F" w:rsidRDefault="00BD6645" w:rsidP="00BD664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 xml:space="preserve">rezultati suradnje koji ne donose prava intelektualnog vlasništva mogu se širiti, a sva prava intelektualnog vlasništva koja proizlaze iz znanstvenih/istraživačkih aktivnosti u potpunosti se pripisuju znanstvenim organizacijama; ili </w:t>
      </w:r>
    </w:p>
    <w:p w:rsidR="00BD6645" w:rsidRPr="00615E8F" w:rsidRDefault="00BD6645" w:rsidP="00BD664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 xml:space="preserve">sva prava intelektualnog vlasništva koja proizlaze iz projekta te povezana prava pristupa dodjeljuju se različitim partnerima u suradnji na način koji prikladno odražava njihove radne pakete, doprinose i interese; ili </w:t>
      </w:r>
    </w:p>
    <w:p w:rsidR="00BD6645" w:rsidRPr="00615E8F" w:rsidRDefault="00BD6645" w:rsidP="00BD664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znanstvene/istraživačke organizacije dobivaju naknadu koja je istovjetna tržišnoj cijeni za prava intelektualnog vlasništva koja proizlaze iz njihovih djelatnosti/aktivnosti i koja se prenose na uključene poduzetnike ili se tim poduzetnicima dodjeljuju prava pristupa tim pravima. Ukupan iznos vrijednosti doprinosa, financijskog i nefinancijskog, uključenih poduzetnika troškovima aktivnosti istraživačkih organizacija koje su dovele do predmetnog prava intelektualnog vlasništva, mogu se oduzeti od te naknade. Tržišna cijena objašnjena je u točki 29. Okvira Zajednice za državne potpore za istraživanje i razvoj i inovacije (2014/C 198/01)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6645" w:rsidRPr="00615E8F" w:rsidRDefault="00BD6645" w:rsidP="00BD6645">
      <w:pPr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Kao prilog sporazumu potrebno je izraditi strategiju suradnje koja treba odgovarati ciljevima osnivanja konzorcija i odabiru članova istog.</w:t>
      </w:r>
    </w:p>
    <w:p w:rsidR="00BD6645" w:rsidRDefault="00BD6645" w:rsidP="00BD66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645" w:rsidRPr="00615E8F" w:rsidRDefault="00BD6645" w:rsidP="00BD6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E8F">
        <w:rPr>
          <w:rFonts w:ascii="Times New Roman" w:hAnsi="Times New Roman" w:cs="Times New Roman"/>
          <w:b/>
          <w:sz w:val="28"/>
          <w:szCs w:val="28"/>
        </w:rPr>
        <w:t>Preporučeni sadržaj sporazuma o partnerstvu između prijavitelja i partnera</w:t>
      </w:r>
    </w:p>
    <w:p w:rsidR="00BD6645" w:rsidRPr="00615E8F" w:rsidRDefault="00BD6645" w:rsidP="00BD6645">
      <w:pPr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 xml:space="preserve">Dodatne odredbe koje je preporučeno definirati: </w:t>
      </w:r>
    </w:p>
    <w:p w:rsidR="00BD6645" w:rsidRPr="00615E8F" w:rsidRDefault="00BD6645" w:rsidP="00BD6645">
      <w:pPr>
        <w:pStyle w:val="ListParagraph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načini komunikacije i prijenosa informacija unutar partnerstva</w:t>
      </w:r>
      <w:r>
        <w:rPr>
          <w:rFonts w:ascii="Times New Roman" w:hAnsi="Times New Roman" w:cs="Times New Roman"/>
          <w:sz w:val="24"/>
          <w:szCs w:val="24"/>
        </w:rPr>
        <w:t xml:space="preserve"> tj. konzorcija</w:t>
      </w:r>
      <w:r w:rsidRPr="00615E8F">
        <w:rPr>
          <w:rFonts w:ascii="Times New Roman" w:hAnsi="Times New Roman" w:cs="Times New Roman"/>
          <w:sz w:val="24"/>
          <w:szCs w:val="24"/>
        </w:rPr>
        <w:t xml:space="preserve"> i izvještavanje prema ugovornim tijelima, načini praćenja i nadzora nad projektom; </w:t>
      </w:r>
      <w:r>
        <w:rPr>
          <w:rFonts w:ascii="Times New Roman" w:hAnsi="Times New Roman" w:cs="Times New Roman"/>
          <w:sz w:val="24"/>
          <w:szCs w:val="24"/>
        </w:rPr>
        <w:t xml:space="preserve">odredbe u slučaju </w:t>
      </w:r>
      <w:r w:rsidRPr="00615E8F">
        <w:rPr>
          <w:rFonts w:ascii="Times New Roman" w:hAnsi="Times New Roman" w:cs="Times New Roman"/>
          <w:sz w:val="24"/>
          <w:szCs w:val="24"/>
        </w:rPr>
        <w:t>neispunjavanje obaveza;</w:t>
      </w:r>
    </w:p>
    <w:p w:rsidR="00BD6645" w:rsidRPr="00615E8F" w:rsidRDefault="00BD6645" w:rsidP="00BD6645">
      <w:pPr>
        <w:pStyle w:val="ListParagraph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financije (čuvanje računa i potvrda o troškovima ostvarenima na projektu, planirana dinamika prijenosa sredstava od korisnika na partnera/e); prihvatljivost izdataka, njihova vrijednost i iznos bespovratnih sredstava za aktivnosti korisnika/partnera u okviru projekta koji je predmet sporazuma;</w:t>
      </w:r>
    </w:p>
    <w:p w:rsidR="00BD6645" w:rsidRPr="00615E8F" w:rsidRDefault="00BD6645" w:rsidP="00BD6645">
      <w:pPr>
        <w:pStyle w:val="ListParagraph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pristup podacima i zaštita osobnih podataka; uzajamna odgovornost/jamstva; odgovornost za štetu nanesenu trećim osobama;</w:t>
      </w:r>
    </w:p>
    <w:p w:rsidR="00BD6645" w:rsidRDefault="00BD6645" w:rsidP="00BD6645">
      <w:pPr>
        <w:pStyle w:val="ListParagraph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korištenje pozadinskih informacija, povjerljive informacije, javna objava rezultata projekta – informiranje javnosti i vidljivost.</w:t>
      </w:r>
    </w:p>
    <w:p w:rsidR="00BD6645" w:rsidRPr="00615E8F" w:rsidRDefault="00BD6645" w:rsidP="00BD6645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D6645" w:rsidRPr="00615E8F" w:rsidRDefault="00BD6645" w:rsidP="00BD6645">
      <w:pPr>
        <w:ind w:left="567" w:hanging="425"/>
        <w:jc w:val="both"/>
        <w:rPr>
          <w:rFonts w:ascii="Times New Roman" w:hAnsi="Times New Roman" w:cs="Times New Roman"/>
        </w:rPr>
      </w:pPr>
    </w:p>
    <w:p w:rsidR="00BD6645" w:rsidRDefault="00BD6645" w:rsidP="00BD6645"/>
    <w:p w:rsidR="008435C4" w:rsidRDefault="008435C4">
      <w:bookmarkStart w:id="0" w:name="_GoBack"/>
      <w:bookmarkEnd w:id="0"/>
    </w:p>
    <w:sectPr w:rsidR="008435C4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310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F4B2D" w:rsidRDefault="00BD6645">
            <w:pPr>
              <w:pStyle w:val="Footer"/>
              <w:jc w:val="center"/>
            </w:pPr>
            <w:r w:rsidRPr="00AF4B2D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AF4B2D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7762B" w:rsidRDefault="00BD66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81" w:rsidRDefault="00BD6645">
    <w:pPr>
      <w:pStyle w:val="Header"/>
    </w:pPr>
    <w:r>
      <w:rPr>
        <w:noProof/>
        <w:lang w:eastAsia="hr-HR"/>
      </w:rPr>
      <w:drawing>
        <wp:inline distT="0" distB="0" distL="0" distR="0" wp14:anchorId="4132AFDB" wp14:editId="50912FB6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  <w:lang w:eastAsia="hr-HR"/>
      </w:rPr>
      <w:drawing>
        <wp:inline distT="0" distB="0" distL="0" distR="0" wp14:anchorId="6CE03A12" wp14:editId="7120C663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46B1"/>
    <w:multiLevelType w:val="hybridMultilevel"/>
    <w:tmpl w:val="904880AA"/>
    <w:lvl w:ilvl="0" w:tplc="041A001B">
      <w:start w:val="1"/>
      <w:numFmt w:val="lowerRoman"/>
      <w:lvlText w:val="%1."/>
      <w:lvlJc w:val="righ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99A53DA"/>
    <w:multiLevelType w:val="hybridMultilevel"/>
    <w:tmpl w:val="E2349164"/>
    <w:lvl w:ilvl="0" w:tplc="EF9832D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C4"/>
    <w:rsid w:val="008435C4"/>
    <w:rsid w:val="00BD6645"/>
    <w:rsid w:val="00E4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527E3-120B-4F9F-A452-7427DEAE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645"/>
    <w:pPr>
      <w:ind w:left="720"/>
      <w:contextualSpacing/>
    </w:pPr>
    <w:rPr>
      <w:rFonts w:ascii="Book Antiqua" w:hAnsi="Book Antiqua"/>
    </w:rPr>
  </w:style>
  <w:style w:type="paragraph" w:styleId="Header">
    <w:name w:val="header"/>
    <w:basedOn w:val="Normal"/>
    <w:link w:val="HeaderChar"/>
    <w:uiPriority w:val="99"/>
    <w:unhideWhenUsed/>
    <w:rsid w:val="00BD6645"/>
    <w:pPr>
      <w:tabs>
        <w:tab w:val="center" w:pos="4536"/>
        <w:tab w:val="right" w:pos="9072"/>
      </w:tabs>
      <w:spacing w:after="0" w:line="240" w:lineRule="auto"/>
    </w:pPr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uiPriority w:val="99"/>
    <w:rsid w:val="00BD6645"/>
    <w:rPr>
      <w:rFonts w:ascii="Book Antiqua" w:hAnsi="Book Antiqua"/>
    </w:rPr>
  </w:style>
  <w:style w:type="paragraph" w:styleId="Footer">
    <w:name w:val="footer"/>
    <w:basedOn w:val="Normal"/>
    <w:link w:val="FooterChar"/>
    <w:uiPriority w:val="99"/>
    <w:unhideWhenUsed/>
    <w:rsid w:val="00BD6645"/>
    <w:pPr>
      <w:tabs>
        <w:tab w:val="center" w:pos="4536"/>
        <w:tab w:val="right" w:pos="9072"/>
      </w:tabs>
      <w:spacing w:after="0" w:line="240" w:lineRule="auto"/>
    </w:pPr>
    <w:rPr>
      <w:rFonts w:ascii="Book Antiqua" w:hAnsi="Book Antiqua"/>
    </w:rPr>
  </w:style>
  <w:style w:type="character" w:customStyle="1" w:styleId="FooterChar">
    <w:name w:val="Footer Char"/>
    <w:basedOn w:val="DefaultParagraphFont"/>
    <w:link w:val="Footer"/>
    <w:uiPriority w:val="99"/>
    <w:rsid w:val="00BD6645"/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Company>MZO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Bandov</dc:creator>
  <cp:keywords/>
  <dc:description/>
  <cp:lastModifiedBy>Mirna Bandov</cp:lastModifiedBy>
  <cp:revision>2</cp:revision>
  <dcterms:created xsi:type="dcterms:W3CDTF">2023-04-18T08:16:00Z</dcterms:created>
  <dcterms:modified xsi:type="dcterms:W3CDTF">2023-04-18T08:16:00Z</dcterms:modified>
</cp:coreProperties>
</file>